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jc w:val="center"/>
      </w:pPr>
      <w:r>
        <w:drawing>
          <wp:inline distT="0" distB="0" distL="0" distR="0">
            <wp:extent cx="142875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1419225"/>
                    </a:xfrm>
                    <a:prstGeom prst="rect">
                      <a:avLst/>
                    </a:prstGeom>
                  </pic:spPr>
                </pic:pic>
              </a:graphicData>
            </a:graphic>
          </wp:inline>
        </w:drawing>
      </w:r>
    </w:p>
    <w:p>
      <w:pPr>
        <w:spacing w:before="400"/>
        <w:jc w:val="center"/>
      </w:pPr>
      <w:r>
        <w:rPr>
          <w:b/>
          <w:bCs/>
          <w:color w:val="8B0000"/>
          <w:sz w:val="56"/>
          <w:szCs w:val="56"/>
        </w:rPr>
        <w:t xml:space="preserve">AMVETS RIDERS</w:t>
      </w:r>
    </w:p>
    <w:p>
      <w:pPr>
        <w:spacing w:after="200"/>
        <w:jc w:val="center"/>
      </w:pPr>
      <w:r>
        <w:rPr>
          <w:b/>
          <w:bCs/>
          <w:color w:val="1A1A1A"/>
          <w:sz w:val="40"/>
          <w:szCs w:val="40"/>
        </w:rPr>
        <w:t xml:space="preserve">SGT-AT-ARMS TRAINING GUIDE</w:t>
      </w:r>
    </w:p>
    <w:p>
      <w:pPr>
        <w:spacing w:after="500"/>
        <w:jc w:val="center"/>
      </w:pPr>
      <w:r>
        <w:rPr>
          <w:i/>
          <w:iCs/>
          <w:color w:val="555555"/>
          <w:sz w:val="26"/>
          <w:szCs w:val="26"/>
        </w:rPr>
        <w:t xml:space="preserve">“Riding in Service to Veterans”</w:t>
      </w:r>
    </w:p>
    <w:p>
      <w:pPr>
        <w:spacing w:after="60"/>
        <w:jc w:val="center"/>
      </w:pPr>
      <w:r>
        <w:rPr>
          <w:color w:val="555555"/>
          <w:sz w:val="20"/>
          <w:szCs w:val="20"/>
        </w:rPr>
        <w:t xml:space="preserve">Covers:</w:t>
      </w:r>
    </w:p>
    <w:p>
      <w:pPr>
        <w:spacing w:after="700"/>
        <w:jc w:val="center"/>
      </w:pPr>
      <w:r>
        <w:rPr>
          <w:i/>
          <w:iCs/>
          <w:color w:val="555555"/>
          <w:sz w:val="20"/>
          <w:szCs w:val="20"/>
        </w:rPr>
        <w:t xml:space="preserve">The 990 Compliance Process • Core Duties • Meeting Protocol &amp; Authority • Colors &amp; Ceremonial Duties • Uniform &amp; Vest Enforcement • Entering &amp; Verifying 990 Records • Revalidation Coordination • IRS Filing Deadlines • Form 990-N Q&amp;A • Vest Guide • Readiness Checklist</w:t>
      </w:r>
    </w:p>
    <w:p>
      <w:pPr>
        <w:spacing w:after="40"/>
        <w:jc w:val="center"/>
      </w:pPr>
      <w:r>
        <w:rPr>
          <w:color w:val="555555"/>
          <w:sz w:val="19"/>
          <w:szCs w:val="19"/>
        </w:rPr>
        <w:t xml:space="preserve">Database: amvets-riders-database.web.app</w:t>
      </w:r>
    </w:p>
    <w:p>
      <w:pPr>
        <w:jc w:val="center"/>
      </w:pPr>
      <w:r>
        <w:rPr>
          <w:b/>
          <w:bCs/>
          <w:color w:val="1A1A1A"/>
          <w:sz w:val="20"/>
          <w:szCs w:val="20"/>
        </w:rPr>
        <w:t xml:space="preserve">Updated September 2026</w:t>
      </w:r>
    </w:p>
    <w:p>
      <w:r>
        <w:br w:type="page"/>
      </w:r>
    </w:p>
    <w:p>
      <w:pPr>
        <w:pStyle w:val="Heading1"/>
        <w:pBdr>
          <w:bottom w:val="single" w:color="8B0000" w:sz="6" w:space="4"/>
        </w:pBdr>
        <w:spacing w:after="160" w:before="360"/>
      </w:pPr>
      <w:r>
        <w:t xml:space="preserve">1. The Current 990 Compliance Process</w:t>
      </w:r>
    </w:p>
    <w:p>
      <w:pPr>
        <w:pBdr>
          <w:left w:val="single" w:color="8B0000" w:sz="18" w:space="8"/>
        </w:pBdr>
        <w:spacing w:after="220" w:before="120"/>
        <w:ind w:left="215"/>
      </w:pPr>
      <w:r>
        <w:rPr>
          <w:b/>
          <w:bCs/>
          <w:color w:val="8B0000"/>
        </w:rPr>
        <w:t xml:space="preserve">Do not mail or email 990 records — </w:t>
      </w:r>
      <w:r>
        <w:rPr>
          <w:color w:val="1A1A1A"/>
        </w:rPr>
        <w:t xml:space="preserve">The old process of sending 990 copies from the Chapter to the Department, from the Department to National, or from the Sgt-at-Arms to the 1st Vice is discontinued. After the organization files with the IRS, the Chapter Sgt-at-Arms enters, verifies, and saves the filing information in the Compliance area of the AMVETS Riders Membership Database. The Department reviews and verifies the Chapter record, and National completes the final verification.</w:t>
      </w:r>
    </w:p>
    <w:p>
      <w:pPr>
        <w:pBdr>
          <w:left w:val="single" w:color="8A6200" w:sz="18" w:space="8"/>
        </w:pBdr>
        <w:spacing w:after="220" w:before="120"/>
        <w:ind w:left="215"/>
      </w:pPr>
      <w:r>
        <w:rPr>
          <w:b/>
          <w:bCs/>
          <w:color w:val="8A6200"/>
        </w:rPr>
        <w:t xml:space="preserve">The database does not file the IRS return — </w:t>
      </w:r>
      <w:r>
        <w:rPr>
          <w:color w:val="1A1A1A"/>
        </w:rPr>
        <w:t xml:space="preserve">The applicable Chapter or Department officer must first file Form 990, 990-EZ, or 990-N with the IRS. The AMVETS Riders database records and verifies that filing for organizational compliance.</w:t>
      </w:r>
    </w:p>
    <w:p>
      <w:pPr>
        <w:pStyle w:val="Heading2"/>
        <w:spacing w:after="120" w:before="240"/>
      </w:pPr>
      <w:r>
        <w:t xml:space="preserve">Chapter compliance workflow</w:t>
      </w:r>
    </w:p>
    <w:tbl>
      <w:tblPr>
        <w:tblW w:type="dxa" w:w="8784"/>
        <w:tblBorders>
          <w:top w:val="single" w:color="auto" w:sz="4"/>
          <w:left w:val="single" w:color="auto" w:sz="4"/>
          <w:bottom w:val="single" w:color="auto" w:sz="4"/>
          <w:right w:val="single" w:color="auto" w:sz="4"/>
          <w:insideH w:val="single" w:color="auto" w:sz="4"/>
          <w:insideV w:val="single" w:color="auto" w:sz="4"/>
        </w:tblBorders>
      </w:tblPr>
      <w:tblGrid>
        <w:gridCol w:w="863"/>
        <w:gridCol w:w="7920"/>
      </w:tblGrid>
      <w:tr>
        <w:trPr>
          <w:tblHeader/>
        </w:trPr>
        <w:tc>
          <w:tcPr>
            <w:tcW w:type="dxa" w:w="863"/>
            <w:shd w:fill="8B0000" w:color="auto" w:val="clear"/>
            <w:tcMar>
              <w:top w:type="dxa" w:w="60"/>
              <w:left w:type="dxa" w:w="100"/>
              <w:bottom w:type="dxa" w:w="60"/>
              <w:right w:type="dxa" w:w="100"/>
            </w:tcMar>
          </w:tcPr>
          <w:p>
            <w:r>
              <w:rPr>
                <w:b/>
                <w:bCs/>
                <w:color w:val="FFFFFF"/>
                <w:sz w:val="19"/>
                <w:szCs w:val="19"/>
              </w:rPr>
              <w:t xml:space="preserve">Step</w:t>
            </w:r>
          </w:p>
        </w:tc>
        <w:tc>
          <w:tcPr>
            <w:tcW w:type="dxa" w:w="7920"/>
            <w:shd w:fill="8B0000" w:color="auto" w:val="clear"/>
            <w:tcMar>
              <w:top w:type="dxa" w:w="60"/>
              <w:left w:type="dxa" w:w="100"/>
              <w:bottom w:type="dxa" w:w="60"/>
              <w:right w:type="dxa" w:w="100"/>
            </w:tcMar>
          </w:tcPr>
          <w:p>
            <w:r>
              <w:rPr>
                <w:b/>
                <w:bCs/>
                <w:color w:val="FFFFFF"/>
                <w:sz w:val="19"/>
                <w:szCs w:val="19"/>
              </w:rPr>
              <w:t xml:space="preserve">Required action</w:t>
            </w:r>
          </w:p>
        </w:tc>
      </w:tr>
      <w:tr>
        <w:tc>
          <w:tcPr>
            <w:tcW w:type="dxa" w:w="863"/>
            <w:shd w:fill="F5F5F5" w:color="auto" w:val="clear"/>
            <w:tcMar>
              <w:top w:type="dxa" w:w="50"/>
              <w:left w:type="dxa" w:w="100"/>
              <w:bottom w:type="dxa" w:w="50"/>
              <w:right w:type="dxa" w:w="100"/>
            </w:tcMar>
          </w:tcPr>
          <w:p>
            <w:r>
              <w:rPr>
                <w:sz w:val="19"/>
                <w:szCs w:val="19"/>
              </w:rPr>
              <w:t xml:space="preserve">1</w:t>
            </w:r>
          </w:p>
        </w:tc>
        <w:tc>
          <w:tcPr>
            <w:tcW w:type="dxa" w:w="7920"/>
            <w:shd w:fill="F5F5F5" w:color="auto" w:val="clear"/>
            <w:tcMar>
              <w:top w:type="dxa" w:w="50"/>
              <w:left w:type="dxa" w:w="100"/>
              <w:bottom w:type="dxa" w:w="50"/>
              <w:right w:type="dxa" w:w="100"/>
            </w:tcMar>
          </w:tcPr>
          <w:p>
            <w:r>
              <w:rPr>
                <w:sz w:val="19"/>
                <w:szCs w:val="19"/>
              </w:rPr>
              <w:t xml:space="preserve">The Chapter files its required annual return or e-Postcard with the IRS.</w:t>
            </w:r>
          </w:p>
        </w:tc>
      </w:tr>
      <w:tr>
        <w:tc>
          <w:tcPr>
            <w:tcW w:type="dxa" w:w="863"/>
            <w:shd w:fill="FFFFFF" w:color="auto" w:val="clear"/>
            <w:tcMar>
              <w:top w:type="dxa" w:w="50"/>
              <w:left w:type="dxa" w:w="100"/>
              <w:bottom w:type="dxa" w:w="50"/>
              <w:right w:type="dxa" w:w="100"/>
            </w:tcMar>
          </w:tcPr>
          <w:p>
            <w:r>
              <w:rPr>
                <w:sz w:val="19"/>
                <w:szCs w:val="19"/>
              </w:rPr>
              <w:t xml:space="preserve">2</w:t>
            </w:r>
          </w:p>
        </w:tc>
        <w:tc>
          <w:tcPr>
            <w:tcW w:type="dxa" w:w="7920"/>
            <w:shd w:fill="FFFFFF" w:color="auto" w:val="clear"/>
            <w:tcMar>
              <w:top w:type="dxa" w:w="50"/>
              <w:left w:type="dxa" w:w="100"/>
              <w:bottom w:type="dxa" w:w="50"/>
              <w:right w:type="dxa" w:w="100"/>
            </w:tcMar>
          </w:tcPr>
          <w:p>
            <w:r>
              <w:rPr>
                <w:sz w:val="19"/>
                <w:szCs w:val="19"/>
              </w:rPr>
              <w:t xml:space="preserve">The Chapter Sgt-at-Arms opens the Compliance area in the Riders database.</w:t>
            </w:r>
          </w:p>
        </w:tc>
      </w:tr>
      <w:tr>
        <w:tc>
          <w:tcPr>
            <w:tcW w:type="dxa" w:w="863"/>
            <w:shd w:fill="F5F5F5" w:color="auto" w:val="clear"/>
            <w:tcMar>
              <w:top w:type="dxa" w:w="50"/>
              <w:left w:type="dxa" w:w="100"/>
              <w:bottom w:type="dxa" w:w="50"/>
              <w:right w:type="dxa" w:w="100"/>
            </w:tcMar>
          </w:tcPr>
          <w:p>
            <w:r>
              <w:rPr>
                <w:sz w:val="19"/>
                <w:szCs w:val="19"/>
              </w:rPr>
              <w:t xml:space="preserve">3</w:t>
            </w:r>
          </w:p>
        </w:tc>
        <w:tc>
          <w:tcPr>
            <w:tcW w:type="dxa" w:w="7920"/>
            <w:shd w:fill="F5F5F5" w:color="auto" w:val="clear"/>
            <w:tcMar>
              <w:top w:type="dxa" w:w="50"/>
              <w:left w:type="dxa" w:w="100"/>
              <w:bottom w:type="dxa" w:w="50"/>
              <w:right w:type="dxa" w:w="100"/>
            </w:tcMar>
          </w:tcPr>
          <w:p>
            <w:r>
              <w:rPr>
                <w:sz w:val="19"/>
                <w:szCs w:val="19"/>
              </w:rPr>
              <w:t xml:space="preserve">The Sgt-at-Arms selects the correct Chapter and tax-year filing cycle.</w:t>
            </w:r>
          </w:p>
        </w:tc>
      </w:tr>
      <w:tr>
        <w:tc>
          <w:tcPr>
            <w:tcW w:type="dxa" w:w="863"/>
            <w:shd w:fill="FFFFFF" w:color="auto" w:val="clear"/>
            <w:tcMar>
              <w:top w:type="dxa" w:w="50"/>
              <w:left w:type="dxa" w:w="100"/>
              <w:bottom w:type="dxa" w:w="50"/>
              <w:right w:type="dxa" w:w="100"/>
            </w:tcMar>
          </w:tcPr>
          <w:p>
            <w:r>
              <w:rPr>
                <w:sz w:val="19"/>
                <w:szCs w:val="19"/>
              </w:rPr>
              <w:t xml:space="preserve">4</w:t>
            </w:r>
          </w:p>
        </w:tc>
        <w:tc>
          <w:tcPr>
            <w:tcW w:type="dxa" w:w="7920"/>
            <w:shd w:fill="FFFFFF" w:color="auto" w:val="clear"/>
            <w:tcMar>
              <w:top w:type="dxa" w:w="50"/>
              <w:left w:type="dxa" w:w="100"/>
              <w:bottom w:type="dxa" w:w="50"/>
              <w:right w:type="dxa" w:w="100"/>
            </w:tcMar>
          </w:tcPr>
          <w:p>
            <w:r>
              <w:rPr>
                <w:sz w:val="19"/>
                <w:szCs w:val="19"/>
              </w:rPr>
              <w:t xml:space="preserve">The filing is checked through the IRS Tax-Exempt Organization Search or the IRS lookup available from the database.</w:t>
            </w:r>
          </w:p>
        </w:tc>
      </w:tr>
      <w:tr>
        <w:tc>
          <w:tcPr>
            <w:tcW w:type="dxa" w:w="863"/>
            <w:shd w:fill="F5F5F5" w:color="auto" w:val="clear"/>
            <w:tcMar>
              <w:top w:type="dxa" w:w="50"/>
              <w:left w:type="dxa" w:w="100"/>
              <w:bottom w:type="dxa" w:w="50"/>
              <w:right w:type="dxa" w:w="100"/>
            </w:tcMar>
          </w:tcPr>
          <w:p>
            <w:r>
              <w:rPr>
                <w:sz w:val="19"/>
                <w:szCs w:val="19"/>
              </w:rPr>
              <w:t xml:space="preserve">5</w:t>
            </w:r>
          </w:p>
        </w:tc>
        <w:tc>
          <w:tcPr>
            <w:tcW w:type="dxa" w:w="7920"/>
            <w:shd w:fill="F5F5F5" w:color="auto" w:val="clear"/>
            <w:tcMar>
              <w:top w:type="dxa" w:w="50"/>
              <w:left w:type="dxa" w:w="100"/>
              <w:bottom w:type="dxa" w:w="50"/>
              <w:right w:type="dxa" w:w="100"/>
            </w:tcMar>
          </w:tcPr>
          <w:p>
            <w:r>
              <w:rPr>
                <w:sz w:val="19"/>
                <w:szCs w:val="19"/>
              </w:rPr>
              <w:t xml:space="preserve">The form type, filing date, tax period, verification result, and any required notes are entered.</w:t>
            </w:r>
          </w:p>
        </w:tc>
      </w:tr>
      <w:tr>
        <w:tc>
          <w:tcPr>
            <w:tcW w:type="dxa" w:w="863"/>
            <w:shd w:fill="FFFFFF" w:color="auto" w:val="clear"/>
            <w:tcMar>
              <w:top w:type="dxa" w:w="50"/>
              <w:left w:type="dxa" w:w="100"/>
              <w:bottom w:type="dxa" w:w="50"/>
              <w:right w:type="dxa" w:w="100"/>
            </w:tcMar>
          </w:tcPr>
          <w:p>
            <w:r>
              <w:rPr>
                <w:sz w:val="19"/>
                <w:szCs w:val="19"/>
              </w:rPr>
              <w:t xml:space="preserve">6</w:t>
            </w:r>
          </w:p>
        </w:tc>
        <w:tc>
          <w:tcPr>
            <w:tcW w:type="dxa" w:w="7920"/>
            <w:shd w:fill="FFFFFF" w:color="auto" w:val="clear"/>
            <w:tcMar>
              <w:top w:type="dxa" w:w="50"/>
              <w:left w:type="dxa" w:w="100"/>
              <w:bottom w:type="dxa" w:w="50"/>
              <w:right w:type="dxa" w:w="100"/>
            </w:tcMar>
          </w:tcPr>
          <w:p>
            <w:r>
              <w:rPr>
                <w:sz w:val="19"/>
                <w:szCs w:val="19"/>
              </w:rPr>
              <w:t xml:space="preserve">The Chapter verification is saved in the database.</w:t>
            </w:r>
          </w:p>
        </w:tc>
      </w:tr>
      <w:tr>
        <w:tc>
          <w:tcPr>
            <w:tcW w:type="dxa" w:w="863"/>
            <w:shd w:fill="F5F5F5" w:color="auto" w:val="clear"/>
            <w:tcMar>
              <w:top w:type="dxa" w:w="50"/>
              <w:left w:type="dxa" w:w="100"/>
              <w:bottom w:type="dxa" w:w="50"/>
              <w:right w:type="dxa" w:w="100"/>
            </w:tcMar>
          </w:tcPr>
          <w:p>
            <w:r>
              <w:rPr>
                <w:sz w:val="19"/>
                <w:szCs w:val="19"/>
              </w:rPr>
              <w:t xml:space="preserve">7</w:t>
            </w:r>
          </w:p>
        </w:tc>
        <w:tc>
          <w:tcPr>
            <w:tcW w:type="dxa" w:w="7920"/>
            <w:shd w:fill="F5F5F5" w:color="auto" w:val="clear"/>
            <w:tcMar>
              <w:top w:type="dxa" w:w="50"/>
              <w:left w:type="dxa" w:w="100"/>
              <w:bottom w:type="dxa" w:w="50"/>
              <w:right w:type="dxa" w:w="100"/>
            </w:tcMar>
          </w:tcPr>
          <w:p>
            <w:r>
              <w:rPr>
                <w:sz w:val="19"/>
                <w:szCs w:val="19"/>
              </w:rPr>
              <w:t xml:space="preserve">The Department reviews and records Department verification when a Department exists.</w:t>
            </w:r>
          </w:p>
        </w:tc>
      </w:tr>
      <w:tr>
        <w:tc>
          <w:tcPr>
            <w:tcW w:type="dxa" w:w="863"/>
            <w:shd w:fill="FFFFFF" w:color="auto" w:val="clear"/>
            <w:tcMar>
              <w:top w:type="dxa" w:w="50"/>
              <w:left w:type="dxa" w:w="100"/>
              <w:bottom w:type="dxa" w:w="50"/>
              <w:right w:type="dxa" w:w="100"/>
            </w:tcMar>
          </w:tcPr>
          <w:p>
            <w:r>
              <w:rPr>
                <w:sz w:val="19"/>
                <w:szCs w:val="19"/>
              </w:rPr>
              <w:t xml:space="preserve">8</w:t>
            </w:r>
          </w:p>
        </w:tc>
        <w:tc>
          <w:tcPr>
            <w:tcW w:type="dxa" w:w="7920"/>
            <w:shd w:fill="FFFFFF" w:color="auto" w:val="clear"/>
            <w:tcMar>
              <w:top w:type="dxa" w:w="50"/>
              <w:left w:type="dxa" w:w="100"/>
              <w:bottom w:type="dxa" w:w="50"/>
              <w:right w:type="dxa" w:w="100"/>
            </w:tcMar>
          </w:tcPr>
          <w:p>
            <w:r>
              <w:rPr>
                <w:sz w:val="19"/>
                <w:szCs w:val="19"/>
              </w:rPr>
              <w:t xml:space="preserve">National reviews and records final verification.</w:t>
            </w:r>
          </w:p>
        </w:tc>
      </w:tr>
    </w:tbl>
    <w:p>
      <w:pPr>
        <w:spacing w:after="100"/>
      </w:pPr>
    </w:p>
    <w:p>
      <w:pPr>
        <w:spacing w:after="140"/>
      </w:pPr>
      <w:r>
        <w:t xml:space="preserve">If the Chapter does not have a Riders Department, its saved Chapter verification routes directly to National for final review. No copy is mailed, emailed, or sent to the 1st Vice.</w:t>
      </w:r>
    </w:p>
    <w:p>
      <w:pPr>
        <w:pStyle w:val="Heading1"/>
        <w:pBdr>
          <w:bottom w:val="single" w:color="8B0000" w:sz="6" w:space="4"/>
        </w:pBdr>
        <w:spacing w:after="160" w:before="360"/>
      </w:pPr>
      <w:r>
        <w:t xml:space="preserve">2. Introduction and Core Duties</w:t>
      </w:r>
    </w:p>
    <w:p>
      <w:pPr>
        <w:spacing w:after="140"/>
      </w:pPr>
      <w:r>
        <w:t xml:space="preserve">The purpose of this manual is to provide guidance, duties, and resources for the AMVETS Riders Sgt-at-Arms. This officer plays a critical role in maintaining order, discipline, safety, uniform standards, ceremonial respect, and 990 compliance records.</w:t>
      </w:r>
    </w:p>
    <w:p>
      <w:pPr>
        <w:pStyle w:val="Heading2"/>
        <w:spacing w:after="120" w:before="240"/>
      </w:pPr>
      <w:r>
        <w:t xml:space="preserve">Duties of the Sgt-at-Arms</w:t>
      </w:r>
    </w:p>
    <w:p>
      <w:pPr>
        <w:pStyle w:val="ListParagraph"/>
        <w:numPr>
          <w:ilvl w:val="0"/>
          <w:numId w:val="2"/>
        </w:numPr>
        <w:spacing w:after="60"/>
      </w:pPr>
      <w:r>
        <w:t xml:space="preserve">Maintain order during meetings and official events.</w:t>
      </w:r>
    </w:p>
    <w:p>
      <w:pPr>
        <w:pStyle w:val="ListParagraph"/>
        <w:numPr>
          <w:ilvl w:val="0"/>
          <w:numId w:val="2"/>
        </w:numPr>
        <w:spacing w:after="60"/>
      </w:pPr>
      <w:r>
        <w:t xml:space="preserve">Enforce compliance with AMVETS Riders By-Laws and procedures.</w:t>
      </w:r>
    </w:p>
    <w:p>
      <w:pPr>
        <w:pStyle w:val="ListParagraph"/>
        <w:numPr>
          <w:ilvl w:val="0"/>
          <w:numId w:val="2"/>
        </w:numPr>
        <w:spacing w:after="60"/>
      </w:pPr>
      <w:r>
        <w:t xml:space="preserve">Protect AMVETS Riders property and assets.</w:t>
      </w:r>
    </w:p>
    <w:p>
      <w:pPr>
        <w:pStyle w:val="ListParagraph"/>
        <w:numPr>
          <w:ilvl w:val="0"/>
          <w:numId w:val="2"/>
        </w:numPr>
        <w:spacing w:after="60"/>
      </w:pPr>
      <w:r>
        <w:t xml:space="preserve">Coordinate security and safety for meetings, rides, and events.</w:t>
      </w:r>
    </w:p>
    <w:p>
      <w:pPr>
        <w:pStyle w:val="ListParagraph"/>
        <w:numPr>
          <w:ilvl w:val="0"/>
          <w:numId w:val="2"/>
        </w:numPr>
        <w:spacing w:after="60"/>
      </w:pPr>
      <w:r>
        <w:t xml:space="preserve">Ensure Riders follow official uniform and vest standards at meetings, events, and official functions.</w:t>
      </w:r>
    </w:p>
    <w:p>
      <w:pPr>
        <w:pStyle w:val="ListParagraph"/>
        <w:numPr>
          <w:ilvl w:val="0"/>
          <w:numId w:val="2"/>
        </w:numPr>
        <w:spacing w:after="60"/>
      </w:pPr>
      <w:r>
        <w:t xml:space="preserve">Carry out lawful instructions from the President or Executive Board.</w:t>
      </w:r>
    </w:p>
    <w:p>
      <w:pPr>
        <w:pStyle w:val="ListParagraph"/>
        <w:numPr>
          <w:ilvl w:val="0"/>
          <w:numId w:val="2"/>
        </w:numPr>
        <w:spacing w:after="60"/>
      </w:pPr>
      <w:r>
        <w:t xml:space="preserve">Ensure proper conduct and decorum of members and guests.</w:t>
      </w:r>
    </w:p>
    <w:p>
      <w:pPr>
        <w:pStyle w:val="ListParagraph"/>
        <w:numPr>
          <w:ilvl w:val="0"/>
          <w:numId w:val="2"/>
        </w:numPr>
        <w:spacing w:after="60"/>
      </w:pPr>
      <w:r>
        <w:t xml:space="preserve">Safeguard and properly handle the United States Flag and AMVETS Riders Flag.</w:t>
      </w:r>
    </w:p>
    <w:p>
      <w:pPr>
        <w:pStyle w:val="ListParagraph"/>
        <w:numPr>
          <w:ilvl w:val="0"/>
          <w:numId w:val="2"/>
        </w:numPr>
        <w:spacing w:after="60"/>
      </w:pPr>
      <w:r>
        <w:t xml:space="preserve">Enter, verify, and save the organization's annual 990 compliance information in the database at the appropriate level.</w:t>
      </w:r>
    </w:p>
    <w:p>
      <w:pPr>
        <w:pStyle w:val="ListParagraph"/>
        <w:numPr>
          <w:ilvl w:val="0"/>
          <w:numId w:val="2"/>
        </w:numPr>
        <w:spacing w:after="60"/>
      </w:pPr>
      <w:r>
        <w:t xml:space="preserve">Monitor Department or National verification status and correct incomplete records.</w:t>
      </w:r>
    </w:p>
    <w:p>
      <w:pPr>
        <w:pStyle w:val="Heading2"/>
        <w:spacing w:after="120" w:before="240"/>
      </w:pPr>
      <w:r>
        <w:t xml:space="preserve">Standards for the role</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016"/>
        <w:gridCol w:w="7056"/>
      </w:tblGrid>
      <w:tr>
        <w:trPr>
          <w:tblHeader/>
        </w:trPr>
        <w:tc>
          <w:tcPr>
            <w:tcW w:type="dxa" w:w="2016"/>
            <w:shd w:fill="8B0000" w:color="auto" w:val="clear"/>
            <w:tcMar>
              <w:top w:type="dxa" w:w="60"/>
              <w:left w:type="dxa" w:w="100"/>
              <w:bottom w:type="dxa" w:w="60"/>
              <w:right w:type="dxa" w:w="100"/>
            </w:tcMar>
          </w:tcPr>
          <w:p>
            <w:r>
              <w:rPr>
                <w:b/>
                <w:bCs/>
                <w:color w:val="FFFFFF"/>
                <w:sz w:val="19"/>
                <w:szCs w:val="19"/>
              </w:rPr>
              <w:t xml:space="preserve">Standard</w:t>
            </w:r>
          </w:p>
        </w:tc>
        <w:tc>
          <w:tcPr>
            <w:tcW w:type="dxa" w:w="7056"/>
            <w:shd w:fill="8B0000" w:color="auto" w:val="clear"/>
            <w:tcMar>
              <w:top w:type="dxa" w:w="60"/>
              <w:left w:type="dxa" w:w="100"/>
              <w:bottom w:type="dxa" w:w="60"/>
              <w:right w:type="dxa" w:w="100"/>
            </w:tcMar>
          </w:tcPr>
          <w:p>
            <w:r>
              <w:rPr>
                <w:b/>
                <w:bCs/>
                <w:color w:val="FFFFFF"/>
                <w:sz w:val="19"/>
                <w:szCs w:val="19"/>
              </w:rPr>
              <w:t xml:space="preserve">Expectation</w:t>
            </w:r>
          </w:p>
        </w:tc>
      </w:tr>
      <w:tr>
        <w:tc>
          <w:tcPr>
            <w:tcW w:type="dxa" w:w="2016"/>
            <w:shd w:fill="F5F5F5" w:color="auto" w:val="clear"/>
            <w:tcMar>
              <w:top w:type="dxa" w:w="50"/>
              <w:left w:type="dxa" w:w="100"/>
              <w:bottom w:type="dxa" w:w="50"/>
              <w:right w:type="dxa" w:w="100"/>
            </w:tcMar>
          </w:tcPr>
          <w:p>
            <w:r>
              <w:rPr>
                <w:sz w:val="19"/>
                <w:szCs w:val="19"/>
              </w:rPr>
              <w:t xml:space="preserve">Professional</w:t>
            </w:r>
          </w:p>
        </w:tc>
        <w:tc>
          <w:tcPr>
            <w:tcW w:type="dxa" w:w="7056"/>
            <w:shd w:fill="F5F5F5" w:color="auto" w:val="clear"/>
            <w:tcMar>
              <w:top w:type="dxa" w:w="50"/>
              <w:left w:type="dxa" w:w="100"/>
              <w:bottom w:type="dxa" w:w="50"/>
              <w:right w:type="dxa" w:w="100"/>
            </w:tcMar>
          </w:tcPr>
          <w:p>
            <w:r>
              <w:rPr>
                <w:sz w:val="19"/>
                <w:szCs w:val="19"/>
              </w:rPr>
              <w:t xml:space="preserve">Exercise authority calmly, consistently, and respectfully.</w:t>
            </w:r>
          </w:p>
        </w:tc>
      </w:tr>
      <w:tr>
        <w:tc>
          <w:tcPr>
            <w:tcW w:type="dxa" w:w="2016"/>
            <w:shd w:fill="FFFFFF" w:color="auto" w:val="clear"/>
            <w:tcMar>
              <w:top w:type="dxa" w:w="50"/>
              <w:left w:type="dxa" w:w="100"/>
              <w:bottom w:type="dxa" w:w="50"/>
              <w:right w:type="dxa" w:w="100"/>
            </w:tcMar>
          </w:tcPr>
          <w:p>
            <w:r>
              <w:rPr>
                <w:sz w:val="19"/>
                <w:szCs w:val="19"/>
              </w:rPr>
              <w:t xml:space="preserve">Prepared</w:t>
            </w:r>
          </w:p>
        </w:tc>
        <w:tc>
          <w:tcPr>
            <w:tcW w:type="dxa" w:w="7056"/>
            <w:shd w:fill="FFFFFF" w:color="auto" w:val="clear"/>
            <w:tcMar>
              <w:top w:type="dxa" w:w="50"/>
              <w:left w:type="dxa" w:w="100"/>
              <w:bottom w:type="dxa" w:w="50"/>
              <w:right w:type="dxa" w:w="100"/>
            </w:tcMar>
          </w:tcPr>
          <w:p>
            <w:r>
              <w:rPr>
                <w:sz w:val="19"/>
                <w:szCs w:val="19"/>
              </w:rPr>
              <w:t xml:space="preserve">Know the agenda, meeting rules, safety plan, ceremonial duties, and compliance deadlines.</w:t>
            </w:r>
          </w:p>
        </w:tc>
      </w:tr>
      <w:tr>
        <w:tc>
          <w:tcPr>
            <w:tcW w:type="dxa" w:w="2016"/>
            <w:shd w:fill="F5F5F5" w:color="auto" w:val="clear"/>
            <w:tcMar>
              <w:top w:type="dxa" w:w="50"/>
              <w:left w:type="dxa" w:w="100"/>
              <w:bottom w:type="dxa" w:w="50"/>
              <w:right w:type="dxa" w:w="100"/>
            </w:tcMar>
          </w:tcPr>
          <w:p>
            <w:r>
              <w:rPr>
                <w:sz w:val="19"/>
                <w:szCs w:val="19"/>
              </w:rPr>
              <w:t xml:space="preserve">Impartial</w:t>
            </w:r>
          </w:p>
        </w:tc>
        <w:tc>
          <w:tcPr>
            <w:tcW w:type="dxa" w:w="7056"/>
            <w:shd w:fill="F5F5F5" w:color="auto" w:val="clear"/>
            <w:tcMar>
              <w:top w:type="dxa" w:w="50"/>
              <w:left w:type="dxa" w:w="100"/>
              <w:bottom w:type="dxa" w:w="50"/>
              <w:right w:type="dxa" w:w="100"/>
            </w:tcMar>
          </w:tcPr>
          <w:p>
            <w:r>
              <w:rPr>
                <w:sz w:val="19"/>
                <w:szCs w:val="19"/>
              </w:rPr>
              <w:t xml:space="preserve">Apply rules without favoritism and seek Judge Advocate guidance when needed.</w:t>
            </w:r>
          </w:p>
        </w:tc>
      </w:tr>
      <w:tr>
        <w:tc>
          <w:tcPr>
            <w:tcW w:type="dxa" w:w="2016"/>
            <w:shd w:fill="FFFFFF" w:color="auto" w:val="clear"/>
            <w:tcMar>
              <w:top w:type="dxa" w:w="50"/>
              <w:left w:type="dxa" w:w="100"/>
              <w:bottom w:type="dxa" w:w="50"/>
              <w:right w:type="dxa" w:w="100"/>
            </w:tcMar>
          </w:tcPr>
          <w:p>
            <w:r>
              <w:rPr>
                <w:sz w:val="19"/>
                <w:szCs w:val="19"/>
              </w:rPr>
              <w:t xml:space="preserve">Accurate</w:t>
            </w:r>
          </w:p>
        </w:tc>
        <w:tc>
          <w:tcPr>
            <w:tcW w:type="dxa" w:w="7056"/>
            <w:shd w:fill="FFFFFF" w:color="auto" w:val="clear"/>
            <w:tcMar>
              <w:top w:type="dxa" w:w="50"/>
              <w:left w:type="dxa" w:w="100"/>
              <w:bottom w:type="dxa" w:w="50"/>
              <w:right w:type="dxa" w:w="100"/>
            </w:tcMar>
          </w:tcPr>
          <w:p>
            <w:r>
              <w:rPr>
                <w:sz w:val="19"/>
                <w:szCs w:val="19"/>
              </w:rPr>
              <w:t xml:space="preserve">Confirm every database compliance entry is attached to the correct organization and filing cycle.</w:t>
            </w:r>
          </w:p>
        </w:tc>
      </w:tr>
      <w:tr>
        <w:tc>
          <w:tcPr>
            <w:tcW w:type="dxa" w:w="2016"/>
            <w:shd w:fill="F5F5F5" w:color="auto" w:val="clear"/>
            <w:tcMar>
              <w:top w:type="dxa" w:w="50"/>
              <w:left w:type="dxa" w:w="100"/>
              <w:bottom w:type="dxa" w:w="50"/>
              <w:right w:type="dxa" w:w="100"/>
            </w:tcMar>
          </w:tcPr>
          <w:p>
            <w:r>
              <w:rPr>
                <w:sz w:val="19"/>
                <w:szCs w:val="19"/>
              </w:rPr>
              <w:t xml:space="preserve">Accountable</w:t>
            </w:r>
          </w:p>
        </w:tc>
        <w:tc>
          <w:tcPr>
            <w:tcW w:type="dxa" w:w="7056"/>
            <w:shd w:fill="F5F5F5" w:color="auto" w:val="clear"/>
            <w:tcMar>
              <w:top w:type="dxa" w:w="50"/>
              <w:left w:type="dxa" w:w="100"/>
              <w:bottom w:type="dxa" w:w="50"/>
              <w:right w:type="dxa" w:w="100"/>
            </w:tcMar>
          </w:tcPr>
          <w:p>
            <w:r>
              <w:rPr>
                <w:sz w:val="19"/>
                <w:szCs w:val="19"/>
              </w:rPr>
              <w:t xml:space="preserve">Follow a task through Department and National verification rather than stopping after data entry.</w:t>
            </w:r>
          </w:p>
        </w:tc>
      </w:tr>
    </w:tbl>
    <w:p>
      <w:pPr>
        <w:pStyle w:val="Heading1"/>
        <w:pBdr>
          <w:bottom w:val="single" w:color="8B0000" w:sz="6" w:space="4"/>
        </w:pBdr>
        <w:spacing w:after="160" w:before="360"/>
      </w:pPr>
      <w:r>
        <w:t xml:space="preserve">3. Meeting Protocol, Authority, and Conduct</w:t>
      </w:r>
    </w:p>
    <w:p>
      <w:pPr>
        <w:pStyle w:val="Heading2"/>
        <w:spacing w:after="120" w:before="240"/>
      </w:pPr>
      <w:r>
        <w:t xml:space="preserve">Before the meeting</w:t>
      </w:r>
    </w:p>
    <w:p>
      <w:pPr>
        <w:pStyle w:val="ListParagraph"/>
        <w:numPr>
          <w:ilvl w:val="0"/>
          <w:numId w:val="2"/>
        </w:numPr>
        <w:spacing w:after="60"/>
      </w:pPr>
      <w:r>
        <w:t xml:space="preserve">Inspect the meeting area and identify entrances, exits, and any safety concern.</w:t>
      </w:r>
    </w:p>
    <w:p>
      <w:pPr>
        <w:pStyle w:val="ListParagraph"/>
        <w:numPr>
          <w:ilvl w:val="0"/>
          <w:numId w:val="2"/>
        </w:numPr>
        <w:spacing w:after="60"/>
      </w:pPr>
      <w:r>
        <w:t xml:space="preserve">Verify attendance of members and guests.</w:t>
      </w:r>
    </w:p>
    <w:p>
      <w:pPr>
        <w:pStyle w:val="ListParagraph"/>
        <w:numPr>
          <w:ilvl w:val="0"/>
          <w:numId w:val="2"/>
        </w:numPr>
        <w:spacing w:after="60"/>
      </w:pPr>
      <w:r>
        <w:t xml:space="preserve">Ensure only authorized individuals remain once the meeting opens.</w:t>
      </w:r>
    </w:p>
    <w:p>
      <w:pPr>
        <w:pStyle w:val="ListParagraph"/>
        <w:numPr>
          <w:ilvl w:val="0"/>
          <w:numId w:val="2"/>
        </w:numPr>
        <w:spacing w:after="60"/>
      </w:pPr>
      <w:r>
        <w:t xml:space="preserve">Report attendance status to the President before the opening ceremony.</w:t>
      </w:r>
    </w:p>
    <w:p>
      <w:pPr>
        <w:pStyle w:val="ListParagraph"/>
        <w:numPr>
          <w:ilvl w:val="0"/>
          <w:numId w:val="2"/>
        </w:numPr>
        <w:spacing w:after="60"/>
      </w:pPr>
      <w:r>
        <w:t xml:space="preserve">Confirm the colors and ceremonial equipment are present and ready.</w:t>
      </w:r>
    </w:p>
    <w:p>
      <w:pPr>
        <w:pStyle w:val="Heading2"/>
        <w:spacing w:after="120" w:before="240"/>
      </w:pPr>
      <w:r>
        <w:t xml:space="preserve">During the meeting</w:t>
      </w:r>
    </w:p>
    <w:p>
      <w:pPr>
        <w:pStyle w:val="ListParagraph"/>
        <w:numPr>
          <w:ilvl w:val="0"/>
          <w:numId w:val="2"/>
        </w:numPr>
        <w:spacing w:after="60"/>
      </w:pPr>
      <w:r>
        <w:t xml:space="preserve">Maintain order and proper decorum.</w:t>
      </w:r>
    </w:p>
    <w:p>
      <w:pPr>
        <w:pStyle w:val="ListParagraph"/>
        <w:numPr>
          <w:ilvl w:val="0"/>
          <w:numId w:val="2"/>
        </w:numPr>
        <w:spacing w:after="60"/>
      </w:pPr>
      <w:r>
        <w:t xml:space="preserve">Control access to the meeting when directed.</w:t>
      </w:r>
    </w:p>
    <w:p>
      <w:pPr>
        <w:pStyle w:val="ListParagraph"/>
        <w:numPr>
          <w:ilvl w:val="0"/>
          <w:numId w:val="2"/>
        </w:numPr>
        <w:spacing w:after="60"/>
      </w:pPr>
      <w:r>
        <w:t xml:space="preserve">Carry out the President's instructions consistent with the governing documents.</w:t>
      </w:r>
    </w:p>
    <w:p>
      <w:pPr>
        <w:pStyle w:val="ListParagraph"/>
        <w:numPr>
          <w:ilvl w:val="0"/>
          <w:numId w:val="2"/>
        </w:numPr>
        <w:spacing w:after="60"/>
      </w:pPr>
      <w:r>
        <w:t xml:space="preserve">Support the Judge Advocate when a procedural or disciplinary question arises.</w:t>
      </w:r>
    </w:p>
    <w:p>
      <w:pPr>
        <w:pStyle w:val="ListParagraph"/>
        <w:numPr>
          <w:ilvl w:val="0"/>
          <w:numId w:val="2"/>
        </w:numPr>
        <w:spacing w:after="60"/>
      </w:pPr>
      <w:r>
        <w:t xml:space="preserve">Intervene respectfully and use only the level of action necessary to restore order.</w:t>
      </w:r>
    </w:p>
    <w:p>
      <w:pPr>
        <w:pStyle w:val="Heading2"/>
        <w:spacing w:after="120" w:before="240"/>
      </w:pPr>
      <w:r>
        <w:t xml:space="preserve">After the meeting</w:t>
      </w:r>
    </w:p>
    <w:p>
      <w:pPr>
        <w:pStyle w:val="ListParagraph"/>
        <w:numPr>
          <w:ilvl w:val="0"/>
          <w:numId w:val="2"/>
        </w:numPr>
        <w:spacing w:after="60"/>
      </w:pPr>
      <w:r>
        <w:t xml:space="preserve">Assist with closing procedures as directed.</w:t>
      </w:r>
    </w:p>
    <w:p>
      <w:pPr>
        <w:pStyle w:val="ListParagraph"/>
        <w:numPr>
          <w:ilvl w:val="0"/>
          <w:numId w:val="2"/>
        </w:numPr>
        <w:spacing w:after="60"/>
      </w:pPr>
      <w:r>
        <w:t xml:space="preserve">Confirm the colors and organizational property are secured.</w:t>
      </w:r>
    </w:p>
    <w:p>
      <w:pPr>
        <w:pStyle w:val="ListParagraph"/>
        <w:numPr>
          <w:ilvl w:val="0"/>
          <w:numId w:val="2"/>
        </w:numPr>
        <w:spacing w:after="60"/>
      </w:pPr>
      <w:r>
        <w:t xml:space="preserve">Ensure the meeting area is restored respectfully and appropriately.</w:t>
      </w:r>
    </w:p>
    <w:p>
      <w:pPr>
        <w:pStyle w:val="ListParagraph"/>
        <w:numPr>
          <w:ilvl w:val="0"/>
          <w:numId w:val="2"/>
        </w:numPr>
        <w:spacing w:after="60"/>
      </w:pPr>
      <w:r>
        <w:t xml:space="preserve">Document any security, conduct, or safety concern that leadership must address.</w:t>
      </w:r>
    </w:p>
    <w:p>
      <w:pPr>
        <w:pStyle w:val="Heading2"/>
        <w:spacing w:after="120" w:before="240"/>
      </w:pPr>
      <w:r>
        <w:t xml:space="preserve">Authority and conduct</w:t>
      </w:r>
    </w:p>
    <w:p>
      <w:pPr>
        <w:spacing w:after="140"/>
      </w:pPr>
      <w:r>
        <w:t xml:space="preserve">The Sgt-at-Arms serves as the President's representative for maintaining order. Authority must be exercised respectfully and professionally. A disciplinary concern should be handled calmly and in accordance with AMVETS Riders By-Laws and policies. Removal from a meeting should occur only when necessary and with the President's awareness, subject to the governing documents and immediate safety needs.</w:t>
      </w:r>
    </w:p>
    <w:p>
      <w:pPr>
        <w:pStyle w:val="Heading1"/>
        <w:pBdr>
          <w:bottom w:val="single" w:color="8B0000" w:sz="6" w:space="4"/>
        </w:pBdr>
        <w:spacing w:after="160" w:before="360"/>
      </w:pPr>
      <w:r>
        <w:t xml:space="preserve">4. Colors, Ceremonial Duties, and Officer Coordination</w:t>
      </w:r>
    </w:p>
    <w:p>
      <w:pPr>
        <w:pStyle w:val="Heading2"/>
        <w:spacing w:after="120" w:before="240"/>
      </w:pPr>
      <w:r>
        <w:t xml:space="preserve">Colors and ceremonial duties</w:t>
      </w:r>
    </w:p>
    <w:p>
      <w:pPr>
        <w:spacing w:after="140"/>
      </w:pPr>
      <w:r>
        <w:t xml:space="preserve">The Sgt-at-Arms is responsible for the proper handling and care of the colors. Duties include:</w:t>
      </w:r>
    </w:p>
    <w:p>
      <w:pPr>
        <w:pStyle w:val="ListParagraph"/>
        <w:numPr>
          <w:ilvl w:val="0"/>
          <w:numId w:val="2"/>
        </w:numPr>
        <w:spacing w:after="60"/>
      </w:pPr>
      <w:r>
        <w:t xml:space="preserve">Ensure the flags are present, clean, and displayed correctly.</w:t>
      </w:r>
    </w:p>
    <w:p>
      <w:pPr>
        <w:pStyle w:val="ListParagraph"/>
        <w:numPr>
          <w:ilvl w:val="0"/>
          <w:numId w:val="2"/>
        </w:numPr>
        <w:spacing w:after="60"/>
      </w:pPr>
      <w:r>
        <w:t xml:space="preserve">Coordinate with designated color bearers when assigned.</w:t>
      </w:r>
    </w:p>
    <w:p>
      <w:pPr>
        <w:pStyle w:val="ListParagraph"/>
        <w:numPr>
          <w:ilvl w:val="0"/>
          <w:numId w:val="2"/>
        </w:numPr>
        <w:spacing w:after="60"/>
      </w:pPr>
      <w:r>
        <w:t xml:space="preserve">Oversee posting and retiring the colors during meetings and ceremonies.</w:t>
      </w:r>
    </w:p>
    <w:p>
      <w:pPr>
        <w:pStyle w:val="ListParagraph"/>
        <w:numPr>
          <w:ilvl w:val="0"/>
          <w:numId w:val="2"/>
        </w:numPr>
        <w:spacing w:after="60"/>
      </w:pPr>
      <w:r>
        <w:t xml:space="preserve">Ensure all flag handling follows proper respect and protocol.</w:t>
      </w:r>
    </w:p>
    <w:p>
      <w:pPr>
        <w:pStyle w:val="ListParagraph"/>
        <w:numPr>
          <w:ilvl w:val="0"/>
          <w:numId w:val="2"/>
        </w:numPr>
        <w:spacing w:after="60"/>
      </w:pPr>
      <w:r>
        <w:t xml:space="preserve">Store flags and ceremonial equipment safely after use.</w:t>
      </w:r>
    </w:p>
    <w:p>
      <w:pPr>
        <w:pStyle w:val="Heading2"/>
        <w:spacing w:after="120" w:before="240"/>
      </w:pPr>
      <w:r>
        <w:t xml:space="preserve">Relationship with other officers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312"/>
        <w:gridCol w:w="5760"/>
      </w:tblGrid>
      <w:tr>
        <w:trPr>
          <w:tblHeader/>
        </w:trPr>
        <w:tc>
          <w:tcPr>
            <w:tcW w:type="dxa" w:w="3312"/>
            <w:shd w:fill="8B0000" w:color="auto" w:val="clear"/>
            <w:tcMar>
              <w:top w:type="dxa" w:w="60"/>
              <w:left w:type="dxa" w:w="100"/>
              <w:bottom w:type="dxa" w:w="60"/>
              <w:right w:type="dxa" w:w="100"/>
            </w:tcMar>
          </w:tcPr>
          <w:p>
            <w:r>
              <w:rPr>
                <w:b/>
                <w:bCs/>
                <w:color w:val="FFFFFF"/>
                <w:sz w:val="19"/>
                <w:szCs w:val="19"/>
              </w:rPr>
              <w:t xml:space="preserve">Officer</w:t>
            </w:r>
          </w:p>
        </w:tc>
        <w:tc>
          <w:tcPr>
            <w:tcW w:type="dxa" w:w="5760"/>
            <w:shd w:fill="8B0000" w:color="auto" w:val="clear"/>
            <w:tcMar>
              <w:top w:type="dxa" w:w="60"/>
              <w:left w:type="dxa" w:w="100"/>
              <w:bottom w:type="dxa" w:w="60"/>
              <w:right w:type="dxa" w:w="100"/>
            </w:tcMar>
          </w:tcPr>
          <w:p>
            <w:r>
              <w:rPr>
                <w:b/>
                <w:bCs/>
                <w:color w:val="FFFFFF"/>
                <w:sz w:val="19"/>
                <w:szCs w:val="19"/>
              </w:rPr>
              <w:t xml:space="preserve">Coordinate on</w:t>
            </w:r>
          </w:p>
        </w:tc>
      </w:tr>
      <w:tr>
        <w:tc>
          <w:tcPr>
            <w:tcW w:type="dxa" w:w="3312"/>
            <w:shd w:fill="F5F5F5" w:color="auto" w:val="clear"/>
            <w:tcMar>
              <w:top w:type="dxa" w:w="50"/>
              <w:left w:type="dxa" w:w="100"/>
              <w:bottom w:type="dxa" w:w="50"/>
              <w:right w:type="dxa" w:w="100"/>
            </w:tcMar>
          </w:tcPr>
          <w:p>
            <w:r>
              <w:rPr>
                <w:sz w:val="19"/>
                <w:szCs w:val="19"/>
              </w:rPr>
              <w:t xml:space="preserve">President</w:t>
            </w:r>
          </w:p>
        </w:tc>
        <w:tc>
          <w:tcPr>
            <w:tcW w:type="dxa" w:w="5760"/>
            <w:shd w:fill="F5F5F5" w:color="auto" w:val="clear"/>
            <w:tcMar>
              <w:top w:type="dxa" w:w="50"/>
              <w:left w:type="dxa" w:w="100"/>
              <w:bottom w:type="dxa" w:w="50"/>
              <w:right w:type="dxa" w:w="100"/>
            </w:tcMar>
          </w:tcPr>
          <w:p>
            <w:r>
              <w:rPr>
                <w:sz w:val="19"/>
                <w:szCs w:val="19"/>
              </w:rPr>
              <w:t xml:space="preserve">Primary direction, authority, meeting order, and response to conduct issues.</w:t>
            </w:r>
          </w:p>
        </w:tc>
      </w:tr>
      <w:tr>
        <w:tc>
          <w:tcPr>
            <w:tcW w:type="dxa" w:w="3312"/>
            <w:shd w:fill="FFFFFF" w:color="auto" w:val="clear"/>
            <w:tcMar>
              <w:top w:type="dxa" w:w="50"/>
              <w:left w:type="dxa" w:w="100"/>
              <w:bottom w:type="dxa" w:w="50"/>
              <w:right w:type="dxa" w:w="100"/>
            </w:tcMar>
          </w:tcPr>
          <w:p>
            <w:r>
              <w:rPr>
                <w:sz w:val="19"/>
                <w:szCs w:val="19"/>
              </w:rPr>
              <w:t xml:space="preserve">Vice Presidents</w:t>
            </w:r>
          </w:p>
        </w:tc>
        <w:tc>
          <w:tcPr>
            <w:tcW w:type="dxa" w:w="5760"/>
            <w:shd w:fill="FFFFFF" w:color="auto" w:val="clear"/>
            <w:tcMar>
              <w:top w:type="dxa" w:w="50"/>
              <w:left w:type="dxa" w:w="100"/>
              <w:bottom w:type="dxa" w:w="50"/>
              <w:right w:type="dxa" w:w="100"/>
            </w:tcMar>
          </w:tcPr>
          <w:p>
            <w:r>
              <w:rPr>
                <w:sz w:val="19"/>
                <w:szCs w:val="19"/>
              </w:rPr>
              <w:t xml:space="preserve">Meeting support, attendance, member questions, and event operations.</w:t>
            </w:r>
          </w:p>
        </w:tc>
      </w:tr>
      <w:tr>
        <w:tc>
          <w:tcPr>
            <w:tcW w:type="dxa" w:w="3312"/>
            <w:shd w:fill="F5F5F5" w:color="auto" w:val="clear"/>
            <w:tcMar>
              <w:top w:type="dxa" w:w="50"/>
              <w:left w:type="dxa" w:w="100"/>
              <w:bottom w:type="dxa" w:w="50"/>
              <w:right w:type="dxa" w:w="100"/>
            </w:tcMar>
          </w:tcPr>
          <w:p>
            <w:r>
              <w:rPr>
                <w:sz w:val="19"/>
                <w:szCs w:val="19"/>
              </w:rPr>
              <w:t xml:space="preserve">Judge Advocate</w:t>
            </w:r>
          </w:p>
        </w:tc>
        <w:tc>
          <w:tcPr>
            <w:tcW w:type="dxa" w:w="5760"/>
            <w:shd w:fill="F5F5F5" w:color="auto" w:val="clear"/>
            <w:tcMar>
              <w:top w:type="dxa" w:w="50"/>
              <w:left w:type="dxa" w:w="100"/>
              <w:bottom w:type="dxa" w:w="50"/>
              <w:right w:type="dxa" w:w="100"/>
            </w:tcMar>
          </w:tcPr>
          <w:p>
            <w:r>
              <w:rPr>
                <w:sz w:val="19"/>
                <w:szCs w:val="19"/>
              </w:rPr>
              <w:t xml:space="preserve">Procedural and disciplinary guidance; interpretation of governing documents.</w:t>
            </w:r>
          </w:p>
        </w:tc>
      </w:tr>
      <w:tr>
        <w:tc>
          <w:tcPr>
            <w:tcW w:type="dxa" w:w="3312"/>
            <w:shd w:fill="FFFFFF" w:color="auto" w:val="clear"/>
            <w:tcMar>
              <w:top w:type="dxa" w:w="50"/>
              <w:left w:type="dxa" w:w="100"/>
              <w:bottom w:type="dxa" w:w="50"/>
              <w:right w:type="dxa" w:w="100"/>
            </w:tcMar>
          </w:tcPr>
          <w:p>
            <w:r>
              <w:rPr>
                <w:sz w:val="19"/>
                <w:szCs w:val="19"/>
              </w:rPr>
              <w:t xml:space="preserve">Chaplain</w:t>
            </w:r>
          </w:p>
        </w:tc>
        <w:tc>
          <w:tcPr>
            <w:tcW w:type="dxa" w:w="5760"/>
            <w:shd w:fill="FFFFFF" w:color="auto" w:val="clear"/>
            <w:tcMar>
              <w:top w:type="dxa" w:w="50"/>
              <w:left w:type="dxa" w:w="100"/>
              <w:bottom w:type="dxa" w:w="50"/>
              <w:right w:type="dxa" w:w="100"/>
            </w:tcMar>
          </w:tcPr>
          <w:p>
            <w:r>
              <w:rPr>
                <w:sz w:val="19"/>
                <w:szCs w:val="19"/>
              </w:rPr>
              <w:t xml:space="preserve">Ceremonial support and assistance when members or guests need care.</w:t>
            </w:r>
          </w:p>
        </w:tc>
      </w:tr>
      <w:tr>
        <w:tc>
          <w:tcPr>
            <w:tcW w:type="dxa" w:w="3312"/>
            <w:shd w:fill="F5F5F5" w:color="auto" w:val="clear"/>
            <w:tcMar>
              <w:top w:type="dxa" w:w="50"/>
              <w:left w:type="dxa" w:w="100"/>
              <w:bottom w:type="dxa" w:w="50"/>
              <w:right w:type="dxa" w:w="100"/>
            </w:tcMar>
          </w:tcPr>
          <w:p>
            <w:r>
              <w:rPr>
                <w:sz w:val="19"/>
                <w:szCs w:val="19"/>
              </w:rPr>
              <w:t xml:space="preserve">Secretary</w:t>
            </w:r>
          </w:p>
        </w:tc>
        <w:tc>
          <w:tcPr>
            <w:tcW w:type="dxa" w:w="5760"/>
            <w:shd w:fill="F5F5F5" w:color="auto" w:val="clear"/>
            <w:tcMar>
              <w:top w:type="dxa" w:w="50"/>
              <w:left w:type="dxa" w:w="100"/>
              <w:bottom w:type="dxa" w:w="50"/>
              <w:right w:type="dxa" w:w="100"/>
            </w:tcMar>
          </w:tcPr>
          <w:p>
            <w:r>
              <w:rPr>
                <w:sz w:val="19"/>
                <w:szCs w:val="19"/>
              </w:rPr>
              <w:t xml:space="preserve">Attendance, incident documentation, and official records.</w:t>
            </w:r>
          </w:p>
        </w:tc>
      </w:tr>
      <w:tr>
        <w:tc>
          <w:tcPr>
            <w:tcW w:type="dxa" w:w="3312"/>
            <w:shd w:fill="FFFFFF" w:color="auto" w:val="clear"/>
            <w:tcMar>
              <w:top w:type="dxa" w:w="50"/>
              <w:left w:type="dxa" w:w="100"/>
              <w:bottom w:type="dxa" w:w="50"/>
              <w:right w:type="dxa" w:w="100"/>
            </w:tcMar>
          </w:tcPr>
          <w:p>
            <w:r>
              <w:rPr>
                <w:sz w:val="19"/>
                <w:szCs w:val="19"/>
              </w:rPr>
              <w:t xml:space="preserve">Treasurer</w:t>
            </w:r>
          </w:p>
        </w:tc>
        <w:tc>
          <w:tcPr>
            <w:tcW w:type="dxa" w:w="5760"/>
            <w:shd w:fill="FFFFFF" w:color="auto" w:val="clear"/>
            <w:tcMar>
              <w:top w:type="dxa" w:w="50"/>
              <w:left w:type="dxa" w:w="100"/>
              <w:bottom w:type="dxa" w:w="50"/>
              <w:right w:type="dxa" w:w="100"/>
            </w:tcMar>
          </w:tcPr>
          <w:p>
            <w:r>
              <w:rPr>
                <w:sz w:val="19"/>
                <w:szCs w:val="19"/>
              </w:rPr>
              <w:t xml:space="preserve">Tax-year details and supporting information needed to confirm the annual filing.</w:t>
            </w:r>
          </w:p>
        </w:tc>
      </w:tr>
      <w:tr>
        <w:tc>
          <w:tcPr>
            <w:tcW w:type="dxa" w:w="3312"/>
            <w:shd w:fill="F5F5F5" w:color="auto" w:val="clear"/>
            <w:tcMar>
              <w:top w:type="dxa" w:w="50"/>
              <w:left w:type="dxa" w:w="100"/>
              <w:bottom w:type="dxa" w:w="50"/>
              <w:right w:type="dxa" w:w="100"/>
            </w:tcMar>
          </w:tcPr>
          <w:p>
            <w:r>
              <w:rPr>
                <w:sz w:val="19"/>
                <w:szCs w:val="19"/>
              </w:rPr>
              <w:t xml:space="preserve">Department/National Sgt-at-Arms</w:t>
            </w:r>
          </w:p>
        </w:tc>
        <w:tc>
          <w:tcPr>
            <w:tcW w:type="dxa" w:w="5760"/>
            <w:shd w:fill="F5F5F5" w:color="auto" w:val="clear"/>
            <w:tcMar>
              <w:top w:type="dxa" w:w="50"/>
              <w:left w:type="dxa" w:w="100"/>
              <w:bottom w:type="dxa" w:w="50"/>
              <w:right w:type="dxa" w:w="100"/>
            </w:tcMar>
          </w:tcPr>
          <w:p>
            <w:r>
              <w:rPr>
                <w:sz w:val="19"/>
                <w:szCs w:val="19"/>
              </w:rPr>
              <w:t xml:space="preserve">990 compliance review, correction, and database verification.</w:t>
            </w:r>
          </w:p>
        </w:tc>
      </w:tr>
    </w:tbl>
    <w:p>
      <w:pPr>
        <w:spacing w:after="160"/>
      </w:pPr>
    </w:p>
    <w:p>
      <w:pPr>
        <w:pStyle w:val="Heading2"/>
        <w:spacing w:after="120" w:before="240"/>
      </w:pPr>
      <w:r>
        <w:t xml:space="preserve">Best practices</w:t>
      </w:r>
    </w:p>
    <w:p>
      <w:pPr>
        <w:pStyle w:val="ListParagraph"/>
        <w:numPr>
          <w:ilvl w:val="0"/>
          <w:numId w:val="2"/>
        </w:numPr>
        <w:spacing w:after="60"/>
      </w:pPr>
      <w:r>
        <w:t xml:space="preserve">Be familiar with the AMVETS Riders Constitution and By-Laws.</w:t>
      </w:r>
    </w:p>
    <w:p>
      <w:pPr>
        <w:pStyle w:val="ListParagraph"/>
        <w:numPr>
          <w:ilvl w:val="0"/>
          <w:numId w:val="2"/>
        </w:numPr>
        <w:spacing w:after="60"/>
      </w:pPr>
      <w:r>
        <w:t xml:space="preserve">Understand basic parliamentary procedure.</w:t>
      </w:r>
    </w:p>
    <w:p>
      <w:pPr>
        <w:pStyle w:val="ListParagraph"/>
        <w:numPr>
          <w:ilvl w:val="0"/>
          <w:numId w:val="2"/>
        </w:numPr>
        <w:spacing w:after="60"/>
      </w:pPr>
      <w:r>
        <w:t xml:space="preserve">Maintain professionalism under pressure.</w:t>
      </w:r>
    </w:p>
    <w:p>
      <w:pPr>
        <w:pStyle w:val="ListParagraph"/>
        <w:numPr>
          <w:ilvl w:val="0"/>
          <w:numId w:val="2"/>
        </w:numPr>
        <w:spacing w:after="60"/>
      </w:pPr>
      <w:r>
        <w:t xml:space="preserve">Communicate clearly and respectfully.</w:t>
      </w:r>
    </w:p>
    <w:p>
      <w:pPr>
        <w:pStyle w:val="ListParagraph"/>
        <w:numPr>
          <w:ilvl w:val="0"/>
          <w:numId w:val="2"/>
        </w:numPr>
        <w:spacing w:after="60"/>
      </w:pPr>
      <w:r>
        <w:t xml:space="preserve">Prepare for ceremonial and operational duties before members arrive.</w:t>
      </w:r>
    </w:p>
    <w:p>
      <w:pPr>
        <w:pStyle w:val="ListParagraph"/>
        <w:numPr>
          <w:ilvl w:val="0"/>
          <w:numId w:val="2"/>
        </w:numPr>
        <w:spacing w:after="60"/>
      </w:pPr>
      <w:r>
        <w:t xml:space="preserve">Keep 990 compliance records current rather than waiting for revalidation.</w:t>
      </w:r>
    </w:p>
    <w:p>
      <w:pPr>
        <w:pStyle w:val="Heading1"/>
        <w:pBdr>
          <w:bottom w:val="single" w:color="8B0000" w:sz="6" w:space="4"/>
        </w:pBdr>
        <w:spacing w:after="160" w:before="360"/>
      </w:pPr>
      <w:r>
        <w:t xml:space="preserve">5. Uniform and Vest Enforcement</w:t>
      </w:r>
    </w:p>
    <w:p>
      <w:pPr>
        <w:spacing w:after="140"/>
      </w:pPr>
      <w:r>
        <w:t xml:space="preserve">The Sgt-at-Arms is responsible for helping ensure members comply with official AMVETS Riders uniform standards. Corrections should be handled consistently, respectfully, and early enough for a member to comply before an official function.</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304"/>
        <w:gridCol w:w="6768"/>
      </w:tblGrid>
      <w:tr>
        <w:trPr>
          <w:tblHeader/>
        </w:trPr>
        <w:tc>
          <w:tcPr>
            <w:tcW w:type="dxa" w:w="2304"/>
            <w:shd w:fill="8B0000" w:color="auto" w:val="clear"/>
            <w:tcMar>
              <w:top w:type="dxa" w:w="60"/>
              <w:left w:type="dxa" w:w="100"/>
              <w:bottom w:type="dxa" w:w="60"/>
              <w:right w:type="dxa" w:w="100"/>
            </w:tcMar>
          </w:tcPr>
          <w:p>
            <w:r>
              <w:rPr>
                <w:b/>
                <w:bCs/>
                <w:color w:val="FFFFFF"/>
                <w:sz w:val="19"/>
                <w:szCs w:val="19"/>
              </w:rPr>
              <w:t xml:space="preserve">Area</w:t>
            </w:r>
          </w:p>
        </w:tc>
        <w:tc>
          <w:tcPr>
            <w:tcW w:type="dxa" w:w="6768"/>
            <w:shd w:fill="8B0000" w:color="auto" w:val="clear"/>
            <w:tcMar>
              <w:top w:type="dxa" w:w="60"/>
              <w:left w:type="dxa" w:w="100"/>
              <w:bottom w:type="dxa" w:w="60"/>
              <w:right w:type="dxa" w:w="100"/>
            </w:tcMar>
          </w:tcPr>
          <w:p>
            <w:r>
              <w:rPr>
                <w:b/>
                <w:bCs/>
                <w:color w:val="FFFFFF"/>
                <w:sz w:val="19"/>
                <w:szCs w:val="19"/>
              </w:rPr>
              <w:t xml:space="preserve">Requirement</w:t>
            </w:r>
          </w:p>
        </w:tc>
      </w:tr>
      <w:tr>
        <w:tc>
          <w:tcPr>
            <w:tcW w:type="dxa" w:w="2304"/>
            <w:shd w:fill="F5F5F5" w:color="auto" w:val="clear"/>
            <w:tcMar>
              <w:top w:type="dxa" w:w="50"/>
              <w:left w:type="dxa" w:w="100"/>
              <w:bottom w:type="dxa" w:w="50"/>
              <w:right w:type="dxa" w:w="100"/>
            </w:tcMar>
          </w:tcPr>
          <w:p>
            <w:r>
              <w:rPr>
                <w:sz w:val="19"/>
                <w:szCs w:val="19"/>
              </w:rPr>
              <w:t xml:space="preserve">Back of vest</w:t>
            </w:r>
          </w:p>
        </w:tc>
        <w:tc>
          <w:tcPr>
            <w:tcW w:type="dxa" w:w="6768"/>
            <w:shd w:fill="F5F5F5" w:color="auto" w:val="clear"/>
            <w:tcMar>
              <w:top w:type="dxa" w:w="50"/>
              <w:left w:type="dxa" w:w="100"/>
              <w:bottom w:type="dxa" w:w="50"/>
              <w:right w:type="dxa" w:w="100"/>
            </w:tcMar>
          </w:tcPr>
          <w:p>
            <w:r>
              <w:rPr>
                <w:sz w:val="19"/>
                <w:szCs w:val="19"/>
              </w:rPr>
              <w:t xml:space="preserve">Top and bottom rockers must touch the center patch with no gaps. No other patches are permitted on the back.</w:t>
            </w:r>
          </w:p>
        </w:tc>
      </w:tr>
      <w:tr>
        <w:tc>
          <w:tcPr>
            <w:tcW w:type="dxa" w:w="2304"/>
            <w:shd w:fill="FFFFFF" w:color="auto" w:val="clear"/>
            <w:tcMar>
              <w:top w:type="dxa" w:w="50"/>
              <w:left w:type="dxa" w:w="100"/>
              <w:bottom w:type="dxa" w:w="50"/>
              <w:right w:type="dxa" w:w="100"/>
            </w:tcMar>
          </w:tcPr>
          <w:p>
            <w:r>
              <w:rPr>
                <w:sz w:val="19"/>
                <w:szCs w:val="19"/>
              </w:rPr>
              <w:t xml:space="preserve">Front of vest</w:t>
            </w:r>
          </w:p>
        </w:tc>
        <w:tc>
          <w:tcPr>
            <w:tcW w:type="dxa" w:w="6768"/>
            <w:shd w:fill="FFFFFF" w:color="auto" w:val="clear"/>
            <w:tcMar>
              <w:top w:type="dxa" w:w="50"/>
              <w:left w:type="dxa" w:w="100"/>
              <w:bottom w:type="dxa" w:w="50"/>
              <w:right w:type="dxa" w:w="100"/>
            </w:tcMar>
          </w:tcPr>
          <w:p>
            <w:r>
              <w:rPr>
                <w:sz w:val="19"/>
                <w:szCs w:val="19"/>
              </w:rPr>
              <w:t xml:space="preserve">The United States Flag patch is placed highest over the heart. Officer identification bars go directly below as applicable.</w:t>
            </w:r>
          </w:p>
        </w:tc>
      </w:tr>
      <w:tr>
        <w:tc>
          <w:tcPr>
            <w:tcW w:type="dxa" w:w="2304"/>
            <w:shd w:fill="F5F5F5" w:color="auto" w:val="clear"/>
            <w:tcMar>
              <w:top w:type="dxa" w:w="50"/>
              <w:left w:type="dxa" w:w="100"/>
              <w:bottom w:type="dxa" w:w="50"/>
              <w:right w:type="dxa" w:w="100"/>
            </w:tcMar>
          </w:tcPr>
          <w:p>
            <w:r>
              <w:rPr>
                <w:sz w:val="19"/>
                <w:szCs w:val="19"/>
              </w:rPr>
              <w:t xml:space="preserve">Parent organization</w:t>
            </w:r>
          </w:p>
        </w:tc>
        <w:tc>
          <w:tcPr>
            <w:tcW w:type="dxa" w:w="6768"/>
            <w:shd w:fill="F5F5F5" w:color="auto" w:val="clear"/>
            <w:tcMar>
              <w:top w:type="dxa" w:w="50"/>
              <w:left w:type="dxa" w:w="100"/>
              <w:bottom w:type="dxa" w:w="50"/>
              <w:right w:type="dxa" w:w="100"/>
            </w:tcMar>
          </w:tcPr>
          <w:p>
            <w:r>
              <w:rPr>
                <w:sz w:val="19"/>
                <w:szCs w:val="19"/>
              </w:rPr>
              <w:t xml:space="preserve">Place the AMVETS parent organization patch in the authorized front position.</w:t>
            </w:r>
          </w:p>
        </w:tc>
      </w:tr>
      <w:tr>
        <w:tc>
          <w:tcPr>
            <w:tcW w:type="dxa" w:w="2304"/>
            <w:shd w:fill="FFFFFF" w:color="auto" w:val="clear"/>
            <w:tcMar>
              <w:top w:type="dxa" w:w="50"/>
              <w:left w:type="dxa" w:w="100"/>
              <w:bottom w:type="dxa" w:w="50"/>
              <w:right w:type="dxa" w:w="100"/>
            </w:tcMar>
          </w:tcPr>
          <w:p>
            <w:r>
              <w:rPr>
                <w:sz w:val="19"/>
                <w:szCs w:val="19"/>
              </w:rPr>
              <w:t xml:space="preserve">POW-MIA</w:t>
            </w:r>
          </w:p>
        </w:tc>
        <w:tc>
          <w:tcPr>
            <w:tcW w:type="dxa" w:w="6768"/>
            <w:shd w:fill="FFFFFF" w:color="auto" w:val="clear"/>
            <w:tcMar>
              <w:top w:type="dxa" w:w="50"/>
              <w:left w:type="dxa" w:w="100"/>
              <w:bottom w:type="dxa" w:w="50"/>
              <w:right w:type="dxa" w:w="100"/>
            </w:tcMar>
          </w:tcPr>
          <w:p>
            <w:r>
              <w:rPr>
                <w:sz w:val="19"/>
                <w:szCs w:val="19"/>
              </w:rPr>
              <w:t xml:space="preserve">Wear in the authorized upper-front position as shown in the vest guide.</w:t>
            </w:r>
          </w:p>
        </w:tc>
      </w:tr>
      <w:tr>
        <w:tc>
          <w:tcPr>
            <w:tcW w:type="dxa" w:w="2304"/>
            <w:shd w:fill="F5F5F5" w:color="auto" w:val="clear"/>
            <w:tcMar>
              <w:top w:type="dxa" w:w="50"/>
              <w:left w:type="dxa" w:w="100"/>
              <w:bottom w:type="dxa" w:w="50"/>
              <w:right w:type="dxa" w:w="100"/>
            </w:tcMar>
          </w:tcPr>
          <w:p>
            <w:r>
              <w:rPr>
                <w:sz w:val="19"/>
                <w:szCs w:val="19"/>
              </w:rPr>
              <w:t xml:space="preserve">Side panels</w:t>
            </w:r>
          </w:p>
        </w:tc>
        <w:tc>
          <w:tcPr>
            <w:tcW w:type="dxa" w:w="6768"/>
            <w:shd w:fill="F5F5F5" w:color="auto" w:val="clear"/>
            <w:tcMar>
              <w:top w:type="dxa" w:w="50"/>
              <w:left w:type="dxa" w:w="100"/>
              <w:bottom w:type="dxa" w:w="50"/>
              <w:right w:type="dxa" w:w="100"/>
            </w:tcMar>
          </w:tcPr>
          <w:p>
            <w:r>
              <w:rPr>
                <w:sz w:val="19"/>
                <w:szCs w:val="19"/>
              </w:rPr>
              <w:t xml:space="preserve">No side patches are permitted.</w:t>
            </w:r>
          </w:p>
        </w:tc>
      </w:tr>
      <w:tr>
        <w:tc>
          <w:tcPr>
            <w:tcW w:type="dxa" w:w="2304"/>
            <w:shd w:fill="FFFFFF" w:color="auto" w:val="clear"/>
            <w:tcMar>
              <w:top w:type="dxa" w:w="50"/>
              <w:left w:type="dxa" w:w="100"/>
              <w:bottom w:type="dxa" w:w="50"/>
              <w:right w:type="dxa" w:w="100"/>
            </w:tcMar>
          </w:tcPr>
          <w:p>
            <w:r>
              <w:rPr>
                <w:sz w:val="19"/>
                <w:szCs w:val="19"/>
              </w:rPr>
              <w:t xml:space="preserve">Attachment</w:t>
            </w:r>
          </w:p>
        </w:tc>
        <w:tc>
          <w:tcPr>
            <w:tcW w:type="dxa" w:w="6768"/>
            <w:shd w:fill="FFFFFF" w:color="auto" w:val="clear"/>
            <w:tcMar>
              <w:top w:type="dxa" w:w="50"/>
              <w:left w:type="dxa" w:w="100"/>
              <w:bottom w:type="dxa" w:w="50"/>
              <w:right w:type="dxa" w:w="100"/>
            </w:tcMar>
          </w:tcPr>
          <w:p>
            <w:r>
              <w:rPr>
                <w:sz w:val="19"/>
                <w:szCs w:val="19"/>
              </w:rPr>
              <w:t xml:space="preserve">All patches must be securely attached.</w:t>
            </w:r>
          </w:p>
        </w:tc>
      </w:tr>
      <w:tr>
        <w:tc>
          <w:tcPr>
            <w:tcW w:type="dxa" w:w="2304"/>
            <w:shd w:fill="F5F5F5" w:color="auto" w:val="clear"/>
            <w:tcMar>
              <w:top w:type="dxa" w:w="50"/>
              <w:left w:type="dxa" w:w="100"/>
              <w:bottom w:type="dxa" w:w="50"/>
              <w:right w:type="dxa" w:w="100"/>
            </w:tcMar>
          </w:tcPr>
          <w:p>
            <w:r>
              <w:rPr>
                <w:sz w:val="19"/>
                <w:szCs w:val="19"/>
              </w:rPr>
              <w:t xml:space="preserve">Consistency</w:t>
            </w:r>
          </w:p>
        </w:tc>
        <w:tc>
          <w:tcPr>
            <w:tcW w:type="dxa" w:w="6768"/>
            <w:shd w:fill="F5F5F5" w:color="auto" w:val="clear"/>
            <w:tcMar>
              <w:top w:type="dxa" w:w="50"/>
              <w:left w:type="dxa" w:w="100"/>
              <w:bottom w:type="dxa" w:w="50"/>
              <w:right w:type="dxa" w:w="100"/>
            </w:tcMar>
          </w:tcPr>
          <w:p>
            <w:r>
              <w:rPr>
                <w:sz w:val="19"/>
                <w:szCs w:val="19"/>
              </w:rPr>
              <w:t xml:space="preserve">Members should maintain a professional and consistent appearance.</w:t>
            </w:r>
          </w:p>
        </w:tc>
      </w:tr>
    </w:tbl>
    <w:p>
      <w:pPr>
        <w:spacing w:after="160"/>
      </w:pPr>
    </w:p>
    <w:p>
      <w:pPr>
        <w:pStyle w:val="Heading2"/>
        <w:spacing w:after="120" w:before="240"/>
      </w:pPr>
      <w:r>
        <w:t xml:space="preserve">Uniform enforcement approach</w:t>
      </w:r>
    </w:p>
    <w:p>
      <w:pPr>
        <w:pStyle w:val="ListParagraph"/>
        <w:numPr>
          <w:ilvl w:val="0"/>
          <w:numId w:val="2"/>
        </w:numPr>
        <w:spacing w:after="60"/>
      </w:pPr>
      <w:r>
        <w:t xml:space="preserve">Inspect discreetly and explain the exact rule that needs correction.</w:t>
      </w:r>
    </w:p>
    <w:p>
      <w:pPr>
        <w:pStyle w:val="ListParagraph"/>
        <w:numPr>
          <w:ilvl w:val="0"/>
          <w:numId w:val="2"/>
        </w:numPr>
        <w:spacing w:after="60"/>
      </w:pPr>
      <w:r>
        <w:t xml:space="preserve">Give the member a reasonable opportunity to correct the issue when circumstances permit.</w:t>
      </w:r>
    </w:p>
    <w:p>
      <w:pPr>
        <w:pStyle w:val="ListParagraph"/>
        <w:numPr>
          <w:ilvl w:val="0"/>
          <w:numId w:val="2"/>
        </w:numPr>
        <w:spacing w:after="60"/>
      </w:pPr>
      <w:r>
        <w:t xml:space="preserve">Apply the same standard to every member and officer.</w:t>
      </w:r>
    </w:p>
    <w:p>
      <w:pPr>
        <w:pStyle w:val="ListParagraph"/>
        <w:numPr>
          <w:ilvl w:val="0"/>
          <w:numId w:val="2"/>
        </w:numPr>
        <w:spacing w:after="60"/>
      </w:pPr>
      <w:r>
        <w:t xml:space="preserve">Ask the Judge Advocate or President for a ruling when the governing documents are unclear.</w:t>
      </w:r>
    </w:p>
    <w:p>
      <w:pPr>
        <w:pStyle w:val="ListParagraph"/>
        <w:numPr>
          <w:ilvl w:val="0"/>
          <w:numId w:val="2"/>
        </w:numPr>
        <w:spacing w:after="60"/>
      </w:pPr>
      <w:r>
        <w:t xml:space="preserve">Document repeated or disputed violations when leadership action may be required.</w:t>
      </w:r>
    </w:p>
    <w:p>
      <w:pPr>
        <w:pBdr>
          <w:left w:val="single" w:color="8A6200" w:sz="18" w:space="8"/>
        </w:pBdr>
        <w:spacing w:after="220" w:before="120"/>
        <w:ind w:left="215"/>
      </w:pPr>
      <w:r>
        <w:rPr>
          <w:b/>
          <w:bCs/>
          <w:color w:val="8A6200"/>
        </w:rPr>
        <w:t xml:space="preserve">Use the governing standard — </w:t>
      </w:r>
      <w:r>
        <w:rPr>
          <w:color w:val="1A1A1A"/>
        </w:rPr>
        <w:t xml:space="preserve">The photographs in this guide are placement examples. If an image and a current governing uniform rule differ, follow the current AMVETS Riders governing rule.</w:t>
      </w:r>
    </w:p>
    <w:p>
      <w:pPr>
        <w:pStyle w:val="Heading1"/>
        <w:pBdr>
          <w:bottom w:val="single" w:color="8B0000" w:sz="6" w:space="4"/>
        </w:pBdr>
        <w:spacing w:after="160" w:before="360"/>
      </w:pPr>
      <w:r>
        <w:t xml:space="preserve">6. Entering a 990 Record in the Database</w:t>
      </w:r>
    </w:p>
    <w:p>
      <w:pPr>
        <w:spacing w:after="140"/>
      </w:pPr>
      <w:r>
        <w:t xml:space="preserve">Use the Compliance area as the official AMVETS Riders record of the IRS filing and its verification status.</w:t>
      </w:r>
    </w:p>
    <w:tbl>
      <w:tblPr>
        <w:tblW w:type="dxa" w:w="8784"/>
        <w:tblBorders>
          <w:top w:val="single" w:color="auto" w:sz="4"/>
          <w:left w:val="single" w:color="auto" w:sz="4"/>
          <w:bottom w:val="single" w:color="auto" w:sz="4"/>
          <w:right w:val="single" w:color="auto" w:sz="4"/>
          <w:insideH w:val="single" w:color="auto" w:sz="4"/>
          <w:insideV w:val="single" w:color="auto" w:sz="4"/>
        </w:tblBorders>
      </w:tblPr>
      <w:tblGrid>
        <w:gridCol w:w="2304"/>
        <w:gridCol w:w="6480"/>
      </w:tblGrid>
      <w:tr>
        <w:trPr>
          <w:tblHeader/>
        </w:trPr>
        <w:tc>
          <w:tcPr>
            <w:tcW w:type="dxa" w:w="2304"/>
            <w:shd w:fill="8B0000" w:color="auto" w:val="clear"/>
            <w:tcMar>
              <w:top w:type="dxa" w:w="60"/>
              <w:left w:type="dxa" w:w="100"/>
              <w:bottom w:type="dxa" w:w="60"/>
              <w:right w:type="dxa" w:w="100"/>
            </w:tcMar>
          </w:tcPr>
          <w:p>
            <w:r>
              <w:rPr>
                <w:b/>
                <w:bCs/>
                <w:color w:val="FFFFFF"/>
                <w:sz w:val="19"/>
                <w:szCs w:val="19"/>
              </w:rPr>
              <w:t xml:space="preserve">Step</w:t>
            </w:r>
          </w:p>
        </w:tc>
        <w:tc>
          <w:tcPr>
            <w:tcW w:type="dxa" w:w="6480"/>
            <w:shd w:fill="8B0000" w:color="auto" w:val="clear"/>
            <w:tcMar>
              <w:top w:type="dxa" w:w="60"/>
              <w:left w:type="dxa" w:w="100"/>
              <w:bottom w:type="dxa" w:w="60"/>
              <w:right w:type="dxa" w:w="100"/>
            </w:tcMar>
          </w:tcPr>
          <w:p>
            <w:r>
              <w:rPr>
                <w:b/>
                <w:bCs/>
                <w:color w:val="FFFFFF"/>
                <w:sz w:val="19"/>
                <w:szCs w:val="19"/>
              </w:rPr>
              <w:t xml:space="preserve">Action</w:t>
            </w:r>
          </w:p>
        </w:tc>
      </w:tr>
      <w:tr>
        <w:tc>
          <w:tcPr>
            <w:tcW w:type="dxa" w:w="2304"/>
            <w:shd w:fill="F5F5F5" w:color="auto" w:val="clear"/>
            <w:tcMar>
              <w:top w:type="dxa" w:w="50"/>
              <w:left w:type="dxa" w:w="100"/>
              <w:bottom w:type="dxa" w:w="50"/>
              <w:right w:type="dxa" w:w="100"/>
            </w:tcMar>
          </w:tcPr>
          <w:p>
            <w:r>
              <w:rPr>
                <w:sz w:val="19"/>
                <w:szCs w:val="19"/>
              </w:rPr>
              <w:t xml:space="preserve">1. Sign in</w:t>
            </w:r>
          </w:p>
        </w:tc>
        <w:tc>
          <w:tcPr>
            <w:tcW w:type="dxa" w:w="6480"/>
            <w:shd w:fill="F5F5F5" w:color="auto" w:val="clear"/>
            <w:tcMar>
              <w:top w:type="dxa" w:w="50"/>
              <w:left w:type="dxa" w:w="100"/>
              <w:bottom w:type="dxa" w:w="50"/>
              <w:right w:type="dxa" w:w="100"/>
            </w:tcMar>
          </w:tcPr>
          <w:p>
            <w:r>
              <w:rPr>
                <w:sz w:val="19"/>
                <w:szCs w:val="19"/>
              </w:rPr>
              <w:t xml:space="preserve">Use the account assigned to the current Sgt-at-Arms or authorized compliance officer.</w:t>
            </w:r>
          </w:p>
        </w:tc>
      </w:tr>
      <w:tr>
        <w:tc>
          <w:tcPr>
            <w:tcW w:type="dxa" w:w="2304"/>
            <w:shd w:fill="FFFFFF" w:color="auto" w:val="clear"/>
            <w:tcMar>
              <w:top w:type="dxa" w:w="50"/>
              <w:left w:type="dxa" w:w="100"/>
              <w:bottom w:type="dxa" w:w="50"/>
              <w:right w:type="dxa" w:w="100"/>
            </w:tcMar>
          </w:tcPr>
          <w:p>
            <w:r>
              <w:rPr>
                <w:sz w:val="19"/>
                <w:szCs w:val="19"/>
              </w:rPr>
              <w:t xml:space="preserve">2. Open Compliance</w:t>
            </w:r>
          </w:p>
        </w:tc>
        <w:tc>
          <w:tcPr>
            <w:tcW w:type="dxa" w:w="6480"/>
            <w:shd w:fill="FFFFFF" w:color="auto" w:val="clear"/>
            <w:tcMar>
              <w:top w:type="dxa" w:w="50"/>
              <w:left w:type="dxa" w:w="100"/>
              <w:bottom w:type="dxa" w:w="50"/>
              <w:right w:type="dxa" w:w="100"/>
            </w:tcMar>
          </w:tcPr>
          <w:p>
            <w:r>
              <w:rPr>
                <w:sz w:val="19"/>
                <w:szCs w:val="19"/>
              </w:rPr>
              <w:t xml:space="preserve">Go to the Compliance or 990 area of the membership database.</w:t>
            </w:r>
          </w:p>
        </w:tc>
      </w:tr>
      <w:tr>
        <w:tc>
          <w:tcPr>
            <w:tcW w:type="dxa" w:w="2304"/>
            <w:shd w:fill="F5F5F5" w:color="auto" w:val="clear"/>
            <w:tcMar>
              <w:top w:type="dxa" w:w="50"/>
              <w:left w:type="dxa" w:w="100"/>
              <w:bottom w:type="dxa" w:w="50"/>
              <w:right w:type="dxa" w:w="100"/>
            </w:tcMar>
          </w:tcPr>
          <w:p>
            <w:r>
              <w:rPr>
                <w:sz w:val="19"/>
                <w:szCs w:val="19"/>
              </w:rPr>
              <w:t xml:space="preserve">3. Select organization</w:t>
            </w:r>
          </w:p>
        </w:tc>
        <w:tc>
          <w:tcPr>
            <w:tcW w:type="dxa" w:w="6480"/>
            <w:shd w:fill="F5F5F5" w:color="auto" w:val="clear"/>
            <w:tcMar>
              <w:top w:type="dxa" w:w="50"/>
              <w:left w:type="dxa" w:w="100"/>
              <w:bottom w:type="dxa" w:w="50"/>
              <w:right w:type="dxa" w:w="100"/>
            </w:tcMar>
          </w:tcPr>
          <w:p>
            <w:r>
              <w:rPr>
                <w:sz w:val="19"/>
                <w:szCs w:val="19"/>
              </w:rPr>
              <w:t xml:space="preserve">Confirm the correct state, Department, and Chapter. National officers must also check Chapters without a Department.</w:t>
            </w:r>
          </w:p>
        </w:tc>
      </w:tr>
      <w:tr>
        <w:tc>
          <w:tcPr>
            <w:tcW w:type="dxa" w:w="2304"/>
            <w:shd w:fill="FFFFFF" w:color="auto" w:val="clear"/>
            <w:tcMar>
              <w:top w:type="dxa" w:w="50"/>
              <w:left w:type="dxa" w:w="100"/>
              <w:bottom w:type="dxa" w:w="50"/>
              <w:right w:type="dxa" w:w="100"/>
            </w:tcMar>
          </w:tcPr>
          <w:p>
            <w:r>
              <w:rPr>
                <w:sz w:val="19"/>
                <w:szCs w:val="19"/>
              </w:rPr>
              <w:t xml:space="preserve">4. Select filing cycle</w:t>
            </w:r>
          </w:p>
        </w:tc>
        <w:tc>
          <w:tcPr>
            <w:tcW w:type="dxa" w:w="6480"/>
            <w:shd w:fill="FFFFFF" w:color="auto" w:val="clear"/>
            <w:tcMar>
              <w:top w:type="dxa" w:w="50"/>
              <w:left w:type="dxa" w:w="100"/>
              <w:bottom w:type="dxa" w:w="50"/>
              <w:right w:type="dxa" w:w="100"/>
            </w:tcMar>
          </w:tcPr>
          <w:p>
            <w:r>
              <w:rPr>
                <w:sz w:val="19"/>
                <w:szCs w:val="19"/>
              </w:rPr>
              <w:t xml:space="preserve">Choose the correct tax year or fiscal period. Do not overwrite a different year's record.</w:t>
            </w:r>
          </w:p>
        </w:tc>
      </w:tr>
      <w:tr>
        <w:tc>
          <w:tcPr>
            <w:tcW w:type="dxa" w:w="2304"/>
            <w:shd w:fill="F5F5F5" w:color="auto" w:val="clear"/>
            <w:tcMar>
              <w:top w:type="dxa" w:w="50"/>
              <w:left w:type="dxa" w:w="100"/>
              <w:bottom w:type="dxa" w:w="50"/>
              <w:right w:type="dxa" w:w="100"/>
            </w:tcMar>
          </w:tcPr>
          <w:p>
            <w:r>
              <w:rPr>
                <w:sz w:val="19"/>
                <w:szCs w:val="19"/>
              </w:rPr>
              <w:t xml:space="preserve">5. Verify with IRS</w:t>
            </w:r>
          </w:p>
        </w:tc>
        <w:tc>
          <w:tcPr>
            <w:tcW w:type="dxa" w:w="6480"/>
            <w:shd w:fill="F5F5F5" w:color="auto" w:val="clear"/>
            <w:tcMar>
              <w:top w:type="dxa" w:w="50"/>
              <w:left w:type="dxa" w:w="100"/>
              <w:bottom w:type="dxa" w:w="50"/>
              <w:right w:type="dxa" w:w="100"/>
            </w:tcMar>
          </w:tcPr>
          <w:p>
            <w:r>
              <w:rPr>
                <w:sz w:val="19"/>
                <w:szCs w:val="19"/>
              </w:rPr>
              <w:t xml:space="preserve">Use the IRS search link/button and confirm the EIN, organization name, filing type, tax period, and filing status.</w:t>
            </w:r>
          </w:p>
        </w:tc>
      </w:tr>
      <w:tr>
        <w:tc>
          <w:tcPr>
            <w:tcW w:type="dxa" w:w="2304"/>
            <w:shd w:fill="FFFFFF" w:color="auto" w:val="clear"/>
            <w:tcMar>
              <w:top w:type="dxa" w:w="50"/>
              <w:left w:type="dxa" w:w="100"/>
              <w:bottom w:type="dxa" w:w="50"/>
              <w:right w:type="dxa" w:w="100"/>
            </w:tcMar>
          </w:tcPr>
          <w:p>
            <w:r>
              <w:rPr>
                <w:sz w:val="19"/>
                <w:szCs w:val="19"/>
              </w:rPr>
              <w:t xml:space="preserve">6. Enter details</w:t>
            </w:r>
          </w:p>
        </w:tc>
        <w:tc>
          <w:tcPr>
            <w:tcW w:type="dxa" w:w="6480"/>
            <w:shd w:fill="FFFFFF" w:color="auto" w:val="clear"/>
            <w:tcMar>
              <w:top w:type="dxa" w:w="50"/>
              <w:left w:type="dxa" w:w="100"/>
              <w:bottom w:type="dxa" w:w="50"/>
              <w:right w:type="dxa" w:w="100"/>
            </w:tcMar>
          </w:tcPr>
          <w:p>
            <w:r>
              <w:rPr>
                <w:sz w:val="19"/>
                <w:szCs w:val="19"/>
              </w:rPr>
              <w:t xml:space="preserve">Record the form type, filing date, verified status, and any required note or extension information.</w:t>
            </w:r>
          </w:p>
        </w:tc>
      </w:tr>
      <w:tr>
        <w:tc>
          <w:tcPr>
            <w:tcW w:type="dxa" w:w="2304"/>
            <w:shd w:fill="F5F5F5" w:color="auto" w:val="clear"/>
            <w:tcMar>
              <w:top w:type="dxa" w:w="50"/>
              <w:left w:type="dxa" w:w="100"/>
              <w:bottom w:type="dxa" w:w="50"/>
              <w:right w:type="dxa" w:w="100"/>
            </w:tcMar>
          </w:tcPr>
          <w:p>
            <w:r>
              <w:rPr>
                <w:sz w:val="19"/>
                <w:szCs w:val="19"/>
              </w:rPr>
              <w:t xml:space="preserve">7. Save</w:t>
            </w:r>
          </w:p>
        </w:tc>
        <w:tc>
          <w:tcPr>
            <w:tcW w:type="dxa" w:w="6480"/>
            <w:shd w:fill="F5F5F5" w:color="auto" w:val="clear"/>
            <w:tcMar>
              <w:top w:type="dxa" w:w="50"/>
              <w:left w:type="dxa" w:w="100"/>
              <w:bottom w:type="dxa" w:w="50"/>
              <w:right w:type="dxa" w:w="100"/>
            </w:tcMar>
          </w:tcPr>
          <w:p>
            <w:r>
              <w:rPr>
                <w:sz w:val="19"/>
                <w:szCs w:val="19"/>
              </w:rPr>
              <w:t xml:space="preserve">Save the entry and wait for confirmation.</w:t>
            </w:r>
          </w:p>
        </w:tc>
      </w:tr>
      <w:tr>
        <w:tc>
          <w:tcPr>
            <w:tcW w:type="dxa" w:w="2304"/>
            <w:shd w:fill="FFFFFF" w:color="auto" w:val="clear"/>
            <w:tcMar>
              <w:top w:type="dxa" w:w="50"/>
              <w:left w:type="dxa" w:w="100"/>
              <w:bottom w:type="dxa" w:w="50"/>
              <w:right w:type="dxa" w:w="100"/>
            </w:tcMar>
          </w:tcPr>
          <w:p>
            <w:r>
              <w:rPr>
                <w:sz w:val="19"/>
                <w:szCs w:val="19"/>
              </w:rPr>
              <w:t xml:space="preserve">8. Reopen</w:t>
            </w:r>
          </w:p>
        </w:tc>
        <w:tc>
          <w:tcPr>
            <w:tcW w:type="dxa" w:w="6480"/>
            <w:shd w:fill="FFFFFF" w:color="auto" w:val="clear"/>
            <w:tcMar>
              <w:top w:type="dxa" w:w="50"/>
              <w:left w:type="dxa" w:w="100"/>
              <w:bottom w:type="dxa" w:w="50"/>
              <w:right w:type="dxa" w:w="100"/>
            </w:tcMar>
          </w:tcPr>
          <w:p>
            <w:r>
              <w:rPr>
                <w:sz w:val="19"/>
                <w:szCs w:val="19"/>
              </w:rPr>
              <w:t xml:space="preserve">Confirm the record is visible under the correct organization and that every field is accurate.</w:t>
            </w:r>
          </w:p>
        </w:tc>
      </w:tr>
    </w:tbl>
    <w:p>
      <w:pPr>
        <w:spacing w:after="160"/>
      </w:pPr>
    </w:p>
    <w:p>
      <w:pPr>
        <w:pStyle w:val="Heading2"/>
        <w:spacing w:after="120" w:before="240"/>
      </w:pPr>
      <w:r>
        <w:t xml:space="preserve">Required accuracy checks</w:t>
      </w:r>
    </w:p>
    <w:p>
      <w:pPr>
        <w:pStyle w:val="ListParagraph"/>
        <w:numPr>
          <w:ilvl w:val="0"/>
          <w:numId w:val="2"/>
        </w:numPr>
        <w:spacing w:after="60"/>
      </w:pPr>
      <w:r>
        <w:t xml:space="preserve">EIN belongs to the selected Chapter or Department.</w:t>
      </w:r>
    </w:p>
    <w:p>
      <w:pPr>
        <w:pStyle w:val="ListParagraph"/>
        <w:numPr>
          <w:ilvl w:val="0"/>
          <w:numId w:val="2"/>
        </w:numPr>
        <w:spacing w:after="60"/>
      </w:pPr>
      <w:r>
        <w:t xml:space="preserve">Legal organization name matches the IRS record closely enough to identify the correct organization.</w:t>
      </w:r>
    </w:p>
    <w:p>
      <w:pPr>
        <w:pStyle w:val="ListParagraph"/>
        <w:numPr>
          <w:ilvl w:val="0"/>
          <w:numId w:val="2"/>
        </w:numPr>
        <w:spacing w:after="60"/>
      </w:pPr>
      <w:r>
        <w:t xml:space="preserve">Tax year or fiscal period is correct.</w:t>
      </w:r>
    </w:p>
    <w:p>
      <w:pPr>
        <w:pStyle w:val="ListParagraph"/>
        <w:numPr>
          <w:ilvl w:val="0"/>
          <w:numId w:val="2"/>
        </w:numPr>
        <w:spacing w:after="60"/>
      </w:pPr>
      <w:r>
        <w:t xml:space="preserve">Form type is correct: 990, 990-EZ, or 990-N.</w:t>
      </w:r>
    </w:p>
    <w:p>
      <w:pPr>
        <w:pStyle w:val="ListParagraph"/>
        <w:numPr>
          <w:ilvl w:val="0"/>
          <w:numId w:val="2"/>
        </w:numPr>
        <w:spacing w:after="60"/>
      </w:pPr>
      <w:r>
        <w:t xml:space="preserve">Filing or acceptance date is correctly recorded.</w:t>
      </w:r>
    </w:p>
    <w:p>
      <w:pPr>
        <w:pStyle w:val="ListParagraph"/>
        <w:numPr>
          <w:ilvl w:val="0"/>
          <w:numId w:val="2"/>
        </w:numPr>
        <w:spacing w:after="60"/>
      </w:pPr>
      <w:r>
        <w:t xml:space="preserve">Chapter verification is saved before Department or National review.</w:t>
      </w:r>
    </w:p>
    <w:p>
      <w:pPr>
        <w:pBdr>
          <w:left w:val="single" w:color="8B0000" w:sz="18" w:space="8"/>
        </w:pBdr>
        <w:spacing w:after="220" w:before="120"/>
        <w:ind w:left="215"/>
      </w:pPr>
      <w:r>
        <w:rPr>
          <w:b/>
          <w:bCs/>
          <w:color w:val="8B0000"/>
        </w:rPr>
        <w:t xml:space="preserve">Avoid duplicate or wrong-year entries — </w:t>
      </w:r>
      <w:r>
        <w:rPr>
          <w:color w:val="1A1A1A"/>
        </w:rPr>
        <w:t xml:space="preserve">Search the database before creating a new record. If an incorrect record must be removed, contact the authorized administrator rather than creating additional entries to hide the mistake.</w:t>
      </w:r>
    </w:p>
    <w:p>
      <w:pPr>
        <w:pStyle w:val="Heading1"/>
        <w:pBdr>
          <w:bottom w:val="single" w:color="8B0000" w:sz="6" w:space="4"/>
        </w:pBdr>
        <w:spacing w:after="160" w:before="360"/>
      </w:pPr>
      <w:r>
        <w:t xml:space="preserve">7. Department and National Verification</w:t>
      </w:r>
    </w:p>
    <w:p>
      <w:pPr>
        <w:pStyle w:val="Heading2"/>
        <w:spacing w:after="120" w:before="240"/>
      </w:pPr>
      <w:r>
        <w:t xml:space="preserve">Department verification</w:t>
      </w:r>
    </w:p>
    <w:p>
      <w:pPr>
        <w:pStyle w:val="ListParagraph"/>
        <w:numPr>
          <w:ilvl w:val="0"/>
          <w:numId w:val="2"/>
        </w:numPr>
        <w:spacing w:after="60"/>
      </w:pPr>
      <w:r>
        <w:t xml:space="preserve">Open the pending Chapter compliance records for the Department.</w:t>
      </w:r>
    </w:p>
    <w:p>
      <w:pPr>
        <w:pStyle w:val="ListParagraph"/>
        <w:numPr>
          <w:ilvl w:val="0"/>
          <w:numId w:val="2"/>
        </w:numPr>
        <w:spacing w:after="60"/>
      </w:pPr>
      <w:r>
        <w:t xml:space="preserve">Confirm the Chapter, EIN, filing cycle, form type, and filing date.</w:t>
      </w:r>
    </w:p>
    <w:p>
      <w:pPr>
        <w:pStyle w:val="ListParagraph"/>
        <w:numPr>
          <w:ilvl w:val="0"/>
          <w:numId w:val="2"/>
        </w:numPr>
        <w:spacing w:after="60"/>
      </w:pPr>
      <w:r>
        <w:t xml:space="preserve">Use the IRS Tax-Exempt Organization Search to independently confirm the filing when available.</w:t>
      </w:r>
    </w:p>
    <w:p>
      <w:pPr>
        <w:pStyle w:val="ListParagraph"/>
        <w:numPr>
          <w:ilvl w:val="0"/>
          <w:numId w:val="2"/>
        </w:numPr>
        <w:spacing w:after="60"/>
      </w:pPr>
      <w:r>
        <w:t xml:space="preserve">If accurate, record Department verification in the database.</w:t>
      </w:r>
    </w:p>
    <w:p>
      <w:pPr>
        <w:pStyle w:val="ListParagraph"/>
        <w:numPr>
          <w:ilvl w:val="0"/>
          <w:numId w:val="2"/>
        </w:numPr>
        <w:spacing w:after="60"/>
      </w:pPr>
      <w:r>
        <w:t xml:space="preserve">If information is missing or incorrect, return it for correction through the database process or contact the Chapter. Do not accept an emailed copy as a substitute for correcting the database record.</w:t>
      </w:r>
    </w:p>
    <w:p>
      <w:pPr>
        <w:pStyle w:val="Heading2"/>
        <w:spacing w:after="120" w:before="240"/>
      </w:pPr>
      <w:r>
        <w:t xml:space="preserve">National verification</w:t>
      </w:r>
    </w:p>
    <w:p>
      <w:pPr>
        <w:pStyle w:val="ListParagraph"/>
        <w:numPr>
          <w:ilvl w:val="0"/>
          <w:numId w:val="2"/>
        </w:numPr>
        <w:spacing w:after="60"/>
      </w:pPr>
      <w:r>
        <w:t xml:space="preserve">Review Department-verified records and records from Chapters without a Department.</w:t>
      </w:r>
    </w:p>
    <w:p>
      <w:pPr>
        <w:pStyle w:val="ListParagraph"/>
        <w:numPr>
          <w:ilvl w:val="0"/>
          <w:numId w:val="2"/>
        </w:numPr>
        <w:spacing w:after="60"/>
      </w:pPr>
      <w:r>
        <w:t xml:space="preserve">Confirm the selected organization and filing cycle are correct.</w:t>
      </w:r>
    </w:p>
    <w:p>
      <w:pPr>
        <w:pStyle w:val="ListParagraph"/>
        <w:numPr>
          <w:ilvl w:val="0"/>
          <w:numId w:val="2"/>
        </w:numPr>
        <w:spacing w:after="60"/>
      </w:pPr>
      <w:r>
        <w:t xml:space="preserve">Verify the filing through the IRS search source when available.</w:t>
      </w:r>
    </w:p>
    <w:p>
      <w:pPr>
        <w:pStyle w:val="ListParagraph"/>
        <w:numPr>
          <w:ilvl w:val="0"/>
          <w:numId w:val="2"/>
        </w:numPr>
        <w:spacing w:after="60"/>
      </w:pPr>
      <w:r>
        <w:t xml:space="preserve">Record final National verification in the database.</w:t>
      </w:r>
    </w:p>
    <w:p>
      <w:pPr>
        <w:pStyle w:val="ListParagraph"/>
        <w:numPr>
          <w:ilvl w:val="0"/>
          <w:numId w:val="2"/>
        </w:numPr>
        <w:spacing w:after="60"/>
      </w:pPr>
      <w:r>
        <w:t xml:space="preserve">Return incomplete or inaccurate records for correction through the database workflow.</w:t>
      </w:r>
    </w:p>
    <w:p>
      <w:pPr>
        <w:pStyle w:val="Heading2"/>
        <w:spacing w:after="120" w:before="240"/>
      </w:pPr>
      <w:r>
        <w:t xml:space="preserve">Completion by organization level</w:t>
      </w:r>
    </w:p>
    <w:tbl>
      <w:tblPr>
        <w:tblW w:type="dxa" w:w="9792"/>
        <w:tblBorders>
          <w:top w:val="single" w:color="auto" w:sz="4"/>
          <w:left w:val="single" w:color="auto" w:sz="4"/>
          <w:bottom w:val="single" w:color="auto" w:sz="4"/>
          <w:right w:val="single" w:color="auto" w:sz="4"/>
          <w:insideH w:val="single" w:color="auto" w:sz="4"/>
          <w:insideV w:val="single" w:color="auto" w:sz="4"/>
        </w:tblBorders>
      </w:tblPr>
      <w:tblGrid>
        <w:gridCol w:w="2735"/>
        <w:gridCol w:w="2160"/>
        <w:gridCol w:w="2735"/>
        <w:gridCol w:w="2160"/>
      </w:tblGrid>
      <w:tr>
        <w:trPr>
          <w:tblHeader/>
        </w:trPr>
        <w:tc>
          <w:tcPr>
            <w:tcW w:type="dxa" w:w="2735"/>
            <w:shd w:fill="8B0000" w:color="auto" w:val="clear"/>
            <w:tcMar>
              <w:top w:type="dxa" w:w="60"/>
              <w:left w:type="dxa" w:w="100"/>
              <w:bottom w:type="dxa" w:w="60"/>
              <w:right w:type="dxa" w:w="100"/>
            </w:tcMar>
          </w:tcPr>
          <w:p>
            <w:r>
              <w:rPr>
                <w:b/>
                <w:bCs/>
                <w:color w:val="FFFFFF"/>
                <w:sz w:val="19"/>
                <w:szCs w:val="19"/>
              </w:rPr>
              <w:t xml:space="preserve">Organization</w:t>
            </w:r>
          </w:p>
        </w:tc>
        <w:tc>
          <w:tcPr>
            <w:tcW w:type="dxa" w:w="2160"/>
            <w:shd w:fill="8B0000" w:color="auto" w:val="clear"/>
            <w:tcMar>
              <w:top w:type="dxa" w:w="60"/>
              <w:left w:type="dxa" w:w="100"/>
              <w:bottom w:type="dxa" w:w="60"/>
              <w:right w:type="dxa" w:w="100"/>
            </w:tcMar>
          </w:tcPr>
          <w:p>
            <w:r>
              <w:rPr>
                <w:b/>
                <w:bCs/>
                <w:color w:val="FFFFFF"/>
                <w:sz w:val="19"/>
                <w:szCs w:val="19"/>
              </w:rPr>
              <w:t xml:space="preserve">First step</w:t>
            </w:r>
          </w:p>
        </w:tc>
        <w:tc>
          <w:tcPr>
            <w:tcW w:type="dxa" w:w="2735"/>
            <w:shd w:fill="8B0000" w:color="auto" w:val="clear"/>
            <w:tcMar>
              <w:top w:type="dxa" w:w="60"/>
              <w:left w:type="dxa" w:w="100"/>
              <w:bottom w:type="dxa" w:w="60"/>
              <w:right w:type="dxa" w:w="100"/>
            </w:tcMar>
          </w:tcPr>
          <w:p>
            <w:r>
              <w:rPr>
                <w:b/>
                <w:bCs/>
                <w:color w:val="FFFFFF"/>
                <w:sz w:val="19"/>
                <w:szCs w:val="19"/>
              </w:rPr>
              <w:t xml:space="preserve">Review</w:t>
            </w:r>
          </w:p>
        </w:tc>
        <w:tc>
          <w:tcPr>
            <w:tcW w:type="dxa" w:w="2160"/>
            <w:shd w:fill="8B0000" w:color="auto" w:val="clear"/>
            <w:tcMar>
              <w:top w:type="dxa" w:w="60"/>
              <w:left w:type="dxa" w:w="100"/>
              <w:bottom w:type="dxa" w:w="60"/>
              <w:right w:type="dxa" w:w="100"/>
            </w:tcMar>
          </w:tcPr>
          <w:p>
            <w:r>
              <w:rPr>
                <w:b/>
                <w:bCs/>
                <w:color w:val="FFFFFF"/>
                <w:sz w:val="19"/>
                <w:szCs w:val="19"/>
              </w:rPr>
              <w:t xml:space="preserve">Final</w:t>
            </w:r>
          </w:p>
        </w:tc>
      </w:tr>
      <w:tr>
        <w:tc>
          <w:tcPr>
            <w:tcW w:type="dxa" w:w="2735"/>
            <w:shd w:fill="F5F5F5" w:color="auto" w:val="clear"/>
            <w:tcMar>
              <w:top w:type="dxa" w:w="50"/>
              <w:left w:type="dxa" w:w="100"/>
              <w:bottom w:type="dxa" w:w="50"/>
              <w:right w:type="dxa" w:w="100"/>
            </w:tcMar>
          </w:tcPr>
          <w:p>
            <w:r>
              <w:rPr>
                <w:sz w:val="19"/>
                <w:szCs w:val="19"/>
              </w:rPr>
              <w:t xml:space="preserve">Chapter with Department</w:t>
            </w:r>
          </w:p>
        </w:tc>
        <w:tc>
          <w:tcPr>
            <w:tcW w:type="dxa" w:w="2160"/>
            <w:shd w:fill="F5F5F5" w:color="auto" w:val="clear"/>
            <w:tcMar>
              <w:top w:type="dxa" w:w="50"/>
              <w:left w:type="dxa" w:w="100"/>
              <w:bottom w:type="dxa" w:w="50"/>
              <w:right w:type="dxa" w:w="100"/>
            </w:tcMar>
          </w:tcPr>
          <w:p>
            <w:r>
              <w:rPr>
                <w:sz w:val="19"/>
                <w:szCs w:val="19"/>
              </w:rPr>
              <w:t xml:space="preserve">Chapter Verified</w:t>
            </w:r>
          </w:p>
        </w:tc>
        <w:tc>
          <w:tcPr>
            <w:tcW w:type="dxa" w:w="2735"/>
            <w:shd w:fill="F5F5F5" w:color="auto" w:val="clear"/>
            <w:tcMar>
              <w:top w:type="dxa" w:w="50"/>
              <w:left w:type="dxa" w:w="100"/>
              <w:bottom w:type="dxa" w:w="50"/>
              <w:right w:type="dxa" w:w="100"/>
            </w:tcMar>
          </w:tcPr>
          <w:p>
            <w:r>
              <w:rPr>
                <w:sz w:val="19"/>
                <w:szCs w:val="19"/>
              </w:rPr>
              <w:t xml:space="preserve">Department Verified</w:t>
            </w:r>
          </w:p>
        </w:tc>
        <w:tc>
          <w:tcPr>
            <w:tcW w:type="dxa" w:w="2160"/>
            <w:shd w:fill="F5F5F5" w:color="auto" w:val="clear"/>
            <w:tcMar>
              <w:top w:type="dxa" w:w="50"/>
              <w:left w:type="dxa" w:w="100"/>
              <w:bottom w:type="dxa" w:w="50"/>
              <w:right w:type="dxa" w:w="100"/>
            </w:tcMar>
          </w:tcPr>
          <w:p>
            <w:r>
              <w:rPr>
                <w:sz w:val="19"/>
                <w:szCs w:val="19"/>
              </w:rPr>
              <w:t xml:space="preserve">National Verified</w:t>
            </w:r>
          </w:p>
        </w:tc>
      </w:tr>
      <w:tr>
        <w:tc>
          <w:tcPr>
            <w:tcW w:type="dxa" w:w="2735"/>
            <w:shd w:fill="FFFFFF" w:color="auto" w:val="clear"/>
            <w:tcMar>
              <w:top w:type="dxa" w:w="50"/>
              <w:left w:type="dxa" w:w="100"/>
              <w:bottom w:type="dxa" w:w="50"/>
              <w:right w:type="dxa" w:w="100"/>
            </w:tcMar>
          </w:tcPr>
          <w:p>
            <w:r>
              <w:rPr>
                <w:sz w:val="19"/>
                <w:szCs w:val="19"/>
              </w:rPr>
              <w:t xml:space="preserve">Chapter without Department</w:t>
            </w:r>
          </w:p>
        </w:tc>
        <w:tc>
          <w:tcPr>
            <w:tcW w:type="dxa" w:w="2160"/>
            <w:shd w:fill="FFFFFF" w:color="auto" w:val="clear"/>
            <w:tcMar>
              <w:top w:type="dxa" w:w="50"/>
              <w:left w:type="dxa" w:w="100"/>
              <w:bottom w:type="dxa" w:w="50"/>
              <w:right w:type="dxa" w:w="100"/>
            </w:tcMar>
          </w:tcPr>
          <w:p>
            <w:r>
              <w:rPr>
                <w:sz w:val="19"/>
                <w:szCs w:val="19"/>
              </w:rPr>
              <w:t xml:space="preserve">Chapter Verified</w:t>
            </w:r>
          </w:p>
        </w:tc>
        <w:tc>
          <w:tcPr>
            <w:tcW w:type="dxa" w:w="2735"/>
            <w:shd w:fill="FFFFFF" w:color="auto" w:val="clear"/>
            <w:tcMar>
              <w:top w:type="dxa" w:w="50"/>
              <w:left w:type="dxa" w:w="100"/>
              <w:bottom w:type="dxa" w:w="50"/>
              <w:right w:type="dxa" w:w="100"/>
            </w:tcMar>
          </w:tcPr>
          <w:p>
            <w:r>
              <w:rPr>
                <w:sz w:val="19"/>
                <w:szCs w:val="19"/>
              </w:rPr>
              <w:t xml:space="preserve">Not applicable</w:t>
            </w:r>
          </w:p>
        </w:tc>
        <w:tc>
          <w:tcPr>
            <w:tcW w:type="dxa" w:w="2160"/>
            <w:shd w:fill="FFFFFF" w:color="auto" w:val="clear"/>
            <w:tcMar>
              <w:top w:type="dxa" w:w="50"/>
              <w:left w:type="dxa" w:w="100"/>
              <w:bottom w:type="dxa" w:w="50"/>
              <w:right w:type="dxa" w:w="100"/>
            </w:tcMar>
          </w:tcPr>
          <w:p>
            <w:r>
              <w:rPr>
                <w:sz w:val="19"/>
                <w:szCs w:val="19"/>
              </w:rPr>
              <w:t xml:space="preserve">National Verified</w:t>
            </w:r>
          </w:p>
        </w:tc>
      </w:tr>
      <w:tr>
        <w:tc>
          <w:tcPr>
            <w:tcW w:type="dxa" w:w="2735"/>
            <w:shd w:fill="F5F5F5" w:color="auto" w:val="clear"/>
            <w:tcMar>
              <w:top w:type="dxa" w:w="50"/>
              <w:left w:type="dxa" w:w="100"/>
              <w:bottom w:type="dxa" w:w="50"/>
              <w:right w:type="dxa" w:w="100"/>
            </w:tcMar>
          </w:tcPr>
          <w:p>
            <w:r>
              <w:rPr>
                <w:sz w:val="19"/>
                <w:szCs w:val="19"/>
              </w:rPr>
              <w:t xml:space="preserve">Department filing</w:t>
            </w:r>
          </w:p>
        </w:tc>
        <w:tc>
          <w:tcPr>
            <w:tcW w:type="dxa" w:w="2160"/>
            <w:shd w:fill="F5F5F5" w:color="auto" w:val="clear"/>
            <w:tcMar>
              <w:top w:type="dxa" w:w="50"/>
              <w:left w:type="dxa" w:w="100"/>
              <w:bottom w:type="dxa" w:w="50"/>
              <w:right w:type="dxa" w:w="100"/>
            </w:tcMar>
          </w:tcPr>
          <w:p>
            <w:r>
              <w:rPr>
                <w:sz w:val="19"/>
                <w:szCs w:val="19"/>
              </w:rPr>
              <w:t xml:space="preserve">Not applicable</w:t>
            </w:r>
          </w:p>
        </w:tc>
        <w:tc>
          <w:tcPr>
            <w:tcW w:type="dxa" w:w="2735"/>
            <w:shd w:fill="F5F5F5" w:color="auto" w:val="clear"/>
            <w:tcMar>
              <w:top w:type="dxa" w:w="50"/>
              <w:left w:type="dxa" w:w="100"/>
              <w:bottom w:type="dxa" w:w="50"/>
              <w:right w:type="dxa" w:w="100"/>
            </w:tcMar>
          </w:tcPr>
          <w:p>
            <w:r>
              <w:rPr>
                <w:sz w:val="19"/>
                <w:szCs w:val="19"/>
              </w:rPr>
              <w:t xml:space="preserve">Department record saved</w:t>
            </w:r>
          </w:p>
        </w:tc>
        <w:tc>
          <w:tcPr>
            <w:tcW w:type="dxa" w:w="2160"/>
            <w:shd w:fill="F5F5F5" w:color="auto" w:val="clear"/>
            <w:tcMar>
              <w:top w:type="dxa" w:w="50"/>
              <w:left w:type="dxa" w:w="100"/>
              <w:bottom w:type="dxa" w:w="50"/>
              <w:right w:type="dxa" w:w="100"/>
            </w:tcMar>
          </w:tcPr>
          <w:p>
            <w:r>
              <w:rPr>
                <w:sz w:val="19"/>
                <w:szCs w:val="19"/>
              </w:rPr>
              <w:t xml:space="preserve">National Verified</w:t>
            </w:r>
          </w:p>
        </w:tc>
      </w:tr>
    </w:tbl>
    <w:p>
      <w:pPr>
        <w:spacing w:after="160"/>
      </w:pPr>
    </w:p>
    <w:p>
      <w:pPr>
        <w:pBdr>
          <w:left w:val="single" w:color="8A6200" w:sz="18" w:space="8"/>
        </w:pBdr>
        <w:spacing w:after="220" w:before="120"/>
        <w:ind w:left="215"/>
      </w:pPr>
      <w:r>
        <w:rPr>
          <w:b/>
          <w:bCs/>
          <w:color w:val="8A6200"/>
        </w:rPr>
        <w:t xml:space="preserve">A saved entry is not always complete — </w:t>
      </w:r>
      <w:r>
        <w:rPr>
          <w:color w:val="1A1A1A"/>
        </w:rPr>
        <w:t xml:space="preserve">The record is complete only when all verification levels that apply to the organization are visible. The Sgt-at-Arms should monitor the record until National verification is complete.</w:t>
      </w:r>
    </w:p>
    <w:p>
      <w:pPr>
        <w:pStyle w:val="Heading1"/>
        <w:pBdr>
          <w:bottom w:val="single" w:color="8B0000" w:sz="6" w:space="4"/>
        </w:pBdr>
        <w:spacing w:after="160" w:before="360"/>
      </w:pPr>
      <w:r>
        <w:t xml:space="preserve">8. Revalidation Coordination and Annual Schedule</w:t>
      </w:r>
    </w:p>
    <w:p>
      <w:pPr>
        <w:spacing w:after="140"/>
      </w:pPr>
      <w:r>
        <w:t xml:space="preserve">The 990 filing and the AMVETS Riders revalidation are separate requirements. Complete the IRS filing by its IRS due date, then make sure the filing is recorded and verified in the database in time for Riders revalidation.</w:t>
      </w:r>
    </w:p>
    <w:tbl>
      <w:tblPr>
        <w:tblW w:type="dxa" w:w="8784"/>
        <w:tblBorders>
          <w:top w:val="single" w:color="auto" w:sz="4"/>
          <w:left w:val="single" w:color="auto" w:sz="4"/>
          <w:bottom w:val="single" w:color="auto" w:sz="4"/>
          <w:right w:val="single" w:color="auto" w:sz="4"/>
          <w:insideH w:val="single" w:color="auto" w:sz="4"/>
          <w:insideV w:val="single" w:color="auto" w:sz="4"/>
        </w:tblBorders>
      </w:tblPr>
      <w:tblGrid>
        <w:gridCol w:w="3024"/>
        <w:gridCol w:w="5760"/>
      </w:tblGrid>
      <w:tr>
        <w:trPr>
          <w:tblHeader/>
        </w:trPr>
        <w:tc>
          <w:tcPr>
            <w:tcW w:type="dxa" w:w="3024"/>
            <w:shd w:fill="8B0000" w:color="auto" w:val="clear"/>
            <w:tcMar>
              <w:top w:type="dxa" w:w="60"/>
              <w:left w:type="dxa" w:w="100"/>
              <w:bottom w:type="dxa" w:w="60"/>
              <w:right w:type="dxa" w:w="100"/>
            </w:tcMar>
          </w:tcPr>
          <w:p>
            <w:r>
              <w:rPr>
                <w:b/>
                <w:bCs/>
                <w:color w:val="FFFFFF"/>
                <w:sz w:val="19"/>
                <w:szCs w:val="19"/>
              </w:rPr>
              <w:t xml:space="preserve">When</w:t>
            </w:r>
          </w:p>
        </w:tc>
        <w:tc>
          <w:tcPr>
            <w:tcW w:type="dxa" w:w="5760"/>
            <w:shd w:fill="8B0000" w:color="auto" w:val="clear"/>
            <w:tcMar>
              <w:top w:type="dxa" w:w="60"/>
              <w:left w:type="dxa" w:w="100"/>
              <w:bottom w:type="dxa" w:w="60"/>
              <w:right w:type="dxa" w:w="100"/>
            </w:tcMar>
          </w:tcPr>
          <w:p>
            <w:r>
              <w:rPr>
                <w:b/>
                <w:bCs/>
                <w:color w:val="FFFFFF"/>
                <w:sz w:val="19"/>
                <w:szCs w:val="19"/>
              </w:rPr>
              <w:t xml:space="preserve">Action</w:t>
            </w:r>
          </w:p>
        </w:tc>
      </w:tr>
      <w:tr>
        <w:tc>
          <w:tcPr>
            <w:tcW w:type="dxa" w:w="3024"/>
            <w:shd w:fill="F5F5F5" w:color="auto" w:val="clear"/>
            <w:tcMar>
              <w:top w:type="dxa" w:w="50"/>
              <w:left w:type="dxa" w:w="100"/>
              <w:bottom w:type="dxa" w:w="50"/>
              <w:right w:type="dxa" w:w="100"/>
            </w:tcMar>
          </w:tcPr>
          <w:p>
            <w:r>
              <w:rPr>
                <w:sz w:val="19"/>
                <w:szCs w:val="19"/>
              </w:rPr>
              <w:t xml:space="preserve">After the tax year ends</w:t>
            </w:r>
          </w:p>
        </w:tc>
        <w:tc>
          <w:tcPr>
            <w:tcW w:type="dxa" w:w="5760"/>
            <w:shd w:fill="F5F5F5" w:color="auto" w:val="clear"/>
            <w:tcMar>
              <w:top w:type="dxa" w:w="50"/>
              <w:left w:type="dxa" w:w="100"/>
              <w:bottom w:type="dxa" w:w="50"/>
              <w:right w:type="dxa" w:w="100"/>
            </w:tcMar>
          </w:tcPr>
          <w:p>
            <w:r>
              <w:rPr>
                <w:sz w:val="19"/>
                <w:szCs w:val="19"/>
              </w:rPr>
              <w:t xml:space="preserve">Confirm which return is required and the IRS due date.</w:t>
            </w:r>
          </w:p>
        </w:tc>
      </w:tr>
      <w:tr>
        <w:tc>
          <w:tcPr>
            <w:tcW w:type="dxa" w:w="3024"/>
            <w:shd w:fill="FFFFFF" w:color="auto" w:val="clear"/>
            <w:tcMar>
              <w:top w:type="dxa" w:w="50"/>
              <w:left w:type="dxa" w:w="100"/>
              <w:bottom w:type="dxa" w:w="50"/>
              <w:right w:type="dxa" w:w="100"/>
            </w:tcMar>
          </w:tcPr>
          <w:p>
            <w:r>
              <w:rPr>
                <w:sz w:val="19"/>
                <w:szCs w:val="19"/>
              </w:rPr>
              <w:t xml:space="preserve">After IRS filing</w:t>
            </w:r>
          </w:p>
        </w:tc>
        <w:tc>
          <w:tcPr>
            <w:tcW w:type="dxa" w:w="5760"/>
            <w:shd w:fill="FFFFFF" w:color="auto" w:val="clear"/>
            <w:tcMar>
              <w:top w:type="dxa" w:w="50"/>
              <w:left w:type="dxa" w:w="100"/>
              <w:bottom w:type="dxa" w:w="50"/>
              <w:right w:type="dxa" w:w="100"/>
            </w:tcMar>
          </w:tcPr>
          <w:p>
            <w:r>
              <w:rPr>
                <w:sz w:val="19"/>
                <w:szCs w:val="19"/>
              </w:rPr>
              <w:t xml:space="preserve">Enter and verify the filing in the database immediately.</w:t>
            </w:r>
          </w:p>
        </w:tc>
      </w:tr>
      <w:tr>
        <w:tc>
          <w:tcPr>
            <w:tcW w:type="dxa" w:w="3024"/>
            <w:shd w:fill="F5F5F5" w:color="auto" w:val="clear"/>
            <w:tcMar>
              <w:top w:type="dxa" w:w="50"/>
              <w:left w:type="dxa" w:w="100"/>
              <w:bottom w:type="dxa" w:w="50"/>
              <w:right w:type="dxa" w:w="100"/>
            </w:tcMar>
          </w:tcPr>
          <w:p>
            <w:r>
              <w:rPr>
                <w:sz w:val="19"/>
                <w:szCs w:val="19"/>
              </w:rPr>
              <w:t xml:space="preserve">Before Chapter revalidation</w:t>
            </w:r>
          </w:p>
        </w:tc>
        <w:tc>
          <w:tcPr>
            <w:tcW w:type="dxa" w:w="5760"/>
            <w:shd w:fill="F5F5F5" w:color="auto" w:val="clear"/>
            <w:tcMar>
              <w:top w:type="dxa" w:w="50"/>
              <w:left w:type="dxa" w:w="100"/>
              <w:bottom w:type="dxa" w:w="50"/>
              <w:right w:type="dxa" w:w="100"/>
            </w:tcMar>
          </w:tcPr>
          <w:p>
            <w:r>
              <w:rPr>
                <w:sz w:val="19"/>
                <w:szCs w:val="19"/>
              </w:rPr>
              <w:t xml:space="preserve">Confirm Chapter, Department when applicable, and National verification status. Chapter revalidation is due July 1.</w:t>
            </w:r>
          </w:p>
        </w:tc>
      </w:tr>
      <w:tr>
        <w:tc>
          <w:tcPr>
            <w:tcW w:type="dxa" w:w="3024"/>
            <w:shd w:fill="FFFFFF" w:color="auto" w:val="clear"/>
            <w:tcMar>
              <w:top w:type="dxa" w:w="50"/>
              <w:left w:type="dxa" w:w="100"/>
              <w:bottom w:type="dxa" w:w="50"/>
              <w:right w:type="dxa" w:w="100"/>
            </w:tcMar>
          </w:tcPr>
          <w:p>
            <w:r>
              <w:rPr>
                <w:sz w:val="19"/>
                <w:szCs w:val="19"/>
              </w:rPr>
              <w:t xml:space="preserve">July 2 at 12:02 AM</w:t>
            </w:r>
          </w:p>
        </w:tc>
        <w:tc>
          <w:tcPr>
            <w:tcW w:type="dxa" w:w="5760"/>
            <w:shd w:fill="FFFFFF" w:color="auto" w:val="clear"/>
            <w:tcMar>
              <w:top w:type="dxa" w:w="50"/>
              <w:left w:type="dxa" w:w="100"/>
              <w:bottom w:type="dxa" w:w="50"/>
              <w:right w:type="dxa" w:w="100"/>
            </w:tcMar>
          </w:tcPr>
          <w:p>
            <w:r>
              <w:rPr>
                <w:sz w:val="19"/>
                <w:szCs w:val="19"/>
              </w:rPr>
              <w:t xml:space="preserve">A Chapter missing required revalidation may be automatically suspended under the Riders deadline stated in the 2026 guides.</w:t>
            </w:r>
          </w:p>
        </w:tc>
      </w:tr>
      <w:tr>
        <w:tc>
          <w:tcPr>
            <w:tcW w:type="dxa" w:w="3024"/>
            <w:shd w:fill="F5F5F5" w:color="auto" w:val="clear"/>
            <w:tcMar>
              <w:top w:type="dxa" w:w="50"/>
              <w:left w:type="dxa" w:w="100"/>
              <w:bottom w:type="dxa" w:w="50"/>
              <w:right w:type="dxa" w:w="100"/>
            </w:tcMar>
          </w:tcPr>
          <w:p>
            <w:r>
              <w:rPr>
                <w:sz w:val="19"/>
                <w:szCs w:val="19"/>
              </w:rPr>
              <w:t xml:space="preserve">Before Department revalidation</w:t>
            </w:r>
          </w:p>
        </w:tc>
        <w:tc>
          <w:tcPr>
            <w:tcW w:type="dxa" w:w="5760"/>
            <w:shd w:fill="F5F5F5" w:color="auto" w:val="clear"/>
            <w:tcMar>
              <w:top w:type="dxa" w:w="50"/>
              <w:left w:type="dxa" w:w="100"/>
              <w:bottom w:type="dxa" w:w="50"/>
              <w:right w:type="dxa" w:w="100"/>
            </w:tcMar>
          </w:tcPr>
          <w:p>
            <w:r>
              <w:rPr>
                <w:sz w:val="19"/>
                <w:szCs w:val="19"/>
              </w:rPr>
              <w:t xml:space="preserve">Confirm the Department filing record and Chapter compliance records are current. Department revalidation is due July 15.</w:t>
            </w:r>
          </w:p>
        </w:tc>
      </w:tr>
      <w:tr>
        <w:tc>
          <w:tcPr>
            <w:tcW w:type="dxa" w:w="3024"/>
            <w:shd w:fill="FFFFFF" w:color="auto" w:val="clear"/>
            <w:tcMar>
              <w:top w:type="dxa" w:w="50"/>
              <w:left w:type="dxa" w:w="100"/>
              <w:bottom w:type="dxa" w:w="50"/>
              <w:right w:type="dxa" w:w="100"/>
            </w:tcMar>
          </w:tcPr>
          <w:p>
            <w:r>
              <w:rPr>
                <w:sz w:val="19"/>
                <w:szCs w:val="19"/>
              </w:rPr>
              <w:t xml:space="preserve">July 16 at 12:02 AM</w:t>
            </w:r>
          </w:p>
        </w:tc>
        <w:tc>
          <w:tcPr>
            <w:tcW w:type="dxa" w:w="5760"/>
            <w:shd w:fill="FFFFFF" w:color="auto" w:val="clear"/>
            <w:tcMar>
              <w:top w:type="dxa" w:w="50"/>
              <w:left w:type="dxa" w:w="100"/>
              <w:bottom w:type="dxa" w:w="50"/>
              <w:right w:type="dxa" w:w="100"/>
            </w:tcMar>
          </w:tcPr>
          <w:p>
            <w:r>
              <w:rPr>
                <w:sz w:val="19"/>
                <w:szCs w:val="19"/>
              </w:rPr>
              <w:t xml:space="preserve">A Department missing required revalidation may be automatically suspended under the Riders deadline stated in the 2026 guides.</w:t>
            </w:r>
          </w:p>
        </w:tc>
      </w:tr>
      <w:tr>
        <w:tc>
          <w:tcPr>
            <w:tcW w:type="dxa" w:w="3024"/>
            <w:shd w:fill="F5F5F5" w:color="auto" w:val="clear"/>
            <w:tcMar>
              <w:top w:type="dxa" w:w="50"/>
              <w:left w:type="dxa" w:w="100"/>
              <w:bottom w:type="dxa" w:w="50"/>
              <w:right w:type="dxa" w:w="100"/>
            </w:tcMar>
          </w:tcPr>
          <w:p>
            <w:r>
              <w:rPr>
                <w:sz w:val="19"/>
                <w:szCs w:val="19"/>
              </w:rPr>
              <w:t xml:space="preserve">Officer transition</w:t>
            </w:r>
          </w:p>
        </w:tc>
        <w:tc>
          <w:tcPr>
            <w:tcW w:type="dxa" w:w="5760"/>
            <w:shd w:fill="F5F5F5" w:color="auto" w:val="clear"/>
            <w:tcMar>
              <w:top w:type="dxa" w:w="50"/>
              <w:left w:type="dxa" w:w="100"/>
              <w:bottom w:type="dxa" w:w="50"/>
              <w:right w:type="dxa" w:w="100"/>
            </w:tcMar>
          </w:tcPr>
          <w:p>
            <w:r>
              <w:rPr>
                <w:sz w:val="19"/>
                <w:szCs w:val="19"/>
              </w:rPr>
              <w:t xml:space="preserve">Outgoing and incoming Sgt-at-Arms review open compliance items and database access together.</w:t>
            </w:r>
          </w:p>
        </w:tc>
      </w:tr>
    </w:tbl>
    <w:p>
      <w:pPr>
        <w:spacing w:after="160"/>
      </w:pPr>
    </w:p>
    <w:p>
      <w:pPr>
        <w:pStyle w:val="Heading2"/>
        <w:spacing w:after="120" w:before="240"/>
      </w:pPr>
      <w:r>
        <w:t xml:space="preserve">Revalidation check</w:t>
      </w:r>
    </w:p>
    <w:p>
      <w:pPr>
        <w:pStyle w:val="ListParagraph"/>
        <w:numPr>
          <w:ilvl w:val="0"/>
          <w:numId w:val="2"/>
        </w:numPr>
        <w:spacing w:after="60"/>
      </w:pPr>
      <w:r>
        <w:t xml:space="preserve">Do not attach or mail a 990 copy with a revalidation form.</w:t>
      </w:r>
    </w:p>
    <w:p>
      <w:pPr>
        <w:pStyle w:val="ListParagraph"/>
        <w:numPr>
          <w:ilvl w:val="0"/>
          <w:numId w:val="2"/>
        </w:numPr>
        <w:spacing w:after="60"/>
      </w:pPr>
      <w:r>
        <w:t xml:space="preserve">Do not send 990 copies to the Department, National, or 1st Vice.</w:t>
      </w:r>
    </w:p>
    <w:p>
      <w:pPr>
        <w:pStyle w:val="ListParagraph"/>
        <w:numPr>
          <w:ilvl w:val="0"/>
          <w:numId w:val="2"/>
        </w:numPr>
        <w:spacing w:after="60"/>
      </w:pPr>
      <w:r>
        <w:t xml:space="preserve">Confirm the database record is under the correct filing year and organization.</w:t>
      </w:r>
    </w:p>
    <w:p>
      <w:pPr>
        <w:pStyle w:val="ListParagraph"/>
        <w:numPr>
          <w:ilvl w:val="0"/>
          <w:numId w:val="2"/>
        </w:numPr>
        <w:spacing w:after="60"/>
      </w:pPr>
      <w:r>
        <w:t xml:space="preserve">Confirm the required Chapter, Department, and National verification indicators are saved.</w:t>
      </w:r>
    </w:p>
    <w:p>
      <w:pPr>
        <w:pStyle w:val="ListParagraph"/>
        <w:numPr>
          <w:ilvl w:val="0"/>
          <w:numId w:val="2"/>
        </w:numPr>
        <w:spacing w:after="60"/>
      </w:pPr>
      <w:r>
        <w:t xml:space="preserve">Resolve any rejected or incomplete record before the applicable revalidation deadline.</w:t>
      </w:r>
    </w:p>
    <w:p>
      <w:pPr>
        <w:pStyle w:val="Heading1"/>
        <w:pBdr>
          <w:bottom w:val="single" w:color="8B0000" w:sz="6" w:space="4"/>
        </w:pBdr>
        <w:spacing w:after="160" w:before="360"/>
      </w:pPr>
      <w:r>
        <w:t xml:space="preserve">9. IRS Form 990 Filing Deadlines and Extensions</w:t>
      </w:r>
    </w:p>
    <w:p>
      <w:pPr>
        <w:spacing w:after="140"/>
      </w:pPr>
      <w:r>
        <w:t xml:space="preserve">The IRS generally requires Form 990, 990-EZ, or 990-N by the 15th day of the fifth month after the organization's tax year ends. If that date falls on a Saturday, Sunday, or legal holiday, the due date moves to the next business day.</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312"/>
        <w:gridCol w:w="5760"/>
      </w:tblGrid>
      <w:tr>
        <w:trPr>
          <w:tblHeader/>
        </w:trPr>
        <w:tc>
          <w:tcPr>
            <w:tcW w:type="dxa" w:w="3312"/>
            <w:shd w:fill="8B0000" w:color="auto" w:val="clear"/>
            <w:tcMar>
              <w:top w:type="dxa" w:w="60"/>
              <w:left w:type="dxa" w:w="100"/>
              <w:bottom w:type="dxa" w:w="60"/>
              <w:right w:type="dxa" w:w="100"/>
            </w:tcMar>
          </w:tcPr>
          <w:p>
            <w:r>
              <w:rPr>
                <w:b/>
                <w:bCs/>
                <w:color w:val="FFFFFF"/>
                <w:sz w:val="19"/>
                <w:szCs w:val="19"/>
              </w:rPr>
              <w:t xml:space="preserve">Tax year ends</w:t>
            </w:r>
          </w:p>
        </w:tc>
        <w:tc>
          <w:tcPr>
            <w:tcW w:type="dxa" w:w="5760"/>
            <w:shd w:fill="8B0000" w:color="auto" w:val="clear"/>
            <w:tcMar>
              <w:top w:type="dxa" w:w="60"/>
              <w:left w:type="dxa" w:w="100"/>
              <w:bottom w:type="dxa" w:w="60"/>
              <w:right w:type="dxa" w:w="100"/>
            </w:tcMar>
          </w:tcPr>
          <w:p>
            <w:r>
              <w:rPr>
                <w:b/>
                <w:bCs/>
                <w:color w:val="FFFFFF"/>
                <w:sz w:val="19"/>
                <w:szCs w:val="19"/>
              </w:rPr>
              <w:t xml:space="preserve">Typical IRS due date</w:t>
            </w:r>
          </w:p>
        </w:tc>
      </w:tr>
      <w:tr>
        <w:tc>
          <w:tcPr>
            <w:tcW w:type="dxa" w:w="3312"/>
            <w:shd w:fill="F5F5F5" w:color="auto" w:val="clear"/>
            <w:tcMar>
              <w:top w:type="dxa" w:w="50"/>
              <w:left w:type="dxa" w:w="100"/>
              <w:bottom w:type="dxa" w:w="50"/>
              <w:right w:type="dxa" w:w="100"/>
            </w:tcMar>
          </w:tcPr>
          <w:p>
            <w:r>
              <w:rPr>
                <w:sz w:val="19"/>
                <w:szCs w:val="19"/>
              </w:rPr>
              <w:t xml:space="preserve">December 31</w:t>
            </w:r>
          </w:p>
        </w:tc>
        <w:tc>
          <w:tcPr>
            <w:tcW w:type="dxa" w:w="5760"/>
            <w:shd w:fill="F5F5F5" w:color="auto" w:val="clear"/>
            <w:tcMar>
              <w:top w:type="dxa" w:w="50"/>
              <w:left w:type="dxa" w:w="100"/>
              <w:bottom w:type="dxa" w:w="50"/>
              <w:right w:type="dxa" w:w="100"/>
            </w:tcMar>
          </w:tcPr>
          <w:p>
            <w:r>
              <w:rPr>
                <w:sz w:val="19"/>
                <w:szCs w:val="19"/>
              </w:rPr>
              <w:t xml:space="preserve">May 15 of the following year</w:t>
            </w:r>
          </w:p>
        </w:tc>
      </w:tr>
      <w:tr>
        <w:tc>
          <w:tcPr>
            <w:tcW w:type="dxa" w:w="3312"/>
            <w:shd w:fill="FFFFFF" w:color="auto" w:val="clear"/>
            <w:tcMar>
              <w:top w:type="dxa" w:w="50"/>
              <w:left w:type="dxa" w:w="100"/>
              <w:bottom w:type="dxa" w:w="50"/>
              <w:right w:type="dxa" w:w="100"/>
            </w:tcMar>
          </w:tcPr>
          <w:p>
            <w:r>
              <w:rPr>
                <w:sz w:val="19"/>
                <w:szCs w:val="19"/>
              </w:rPr>
              <w:t xml:space="preserve">June 30</w:t>
            </w:r>
          </w:p>
        </w:tc>
        <w:tc>
          <w:tcPr>
            <w:tcW w:type="dxa" w:w="5760"/>
            <w:shd w:fill="FFFFFF" w:color="auto" w:val="clear"/>
            <w:tcMar>
              <w:top w:type="dxa" w:w="50"/>
              <w:left w:type="dxa" w:w="100"/>
              <w:bottom w:type="dxa" w:w="50"/>
              <w:right w:type="dxa" w:w="100"/>
            </w:tcMar>
          </w:tcPr>
          <w:p>
            <w:r>
              <w:rPr>
                <w:sz w:val="19"/>
                <w:szCs w:val="19"/>
              </w:rPr>
              <w:t xml:space="preserve">November 15 of the same year</w:t>
            </w:r>
          </w:p>
        </w:tc>
      </w:tr>
    </w:tbl>
    <w:p>
      <w:pPr>
        <w:spacing w:after="160"/>
      </w:pPr>
    </w:p>
    <w:p>
      <w:pPr>
        <w:pStyle w:val="Heading2"/>
        <w:spacing w:after="120" w:before="240"/>
      </w:pPr>
      <w:r>
        <w:t xml:space="preserve">Extension rules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880"/>
        <w:gridCol w:w="6191"/>
      </w:tblGrid>
      <w:tr>
        <w:trPr>
          <w:tblHeader/>
        </w:trPr>
        <w:tc>
          <w:tcPr>
            <w:tcW w:type="dxa" w:w="2880"/>
            <w:shd w:fill="8B0000" w:color="auto" w:val="clear"/>
            <w:tcMar>
              <w:top w:type="dxa" w:w="60"/>
              <w:left w:type="dxa" w:w="100"/>
              <w:bottom w:type="dxa" w:w="60"/>
              <w:right w:type="dxa" w:w="100"/>
            </w:tcMar>
          </w:tcPr>
          <w:p>
            <w:r>
              <w:rPr>
                <w:b/>
                <w:bCs/>
                <w:color w:val="FFFFFF"/>
                <w:sz w:val="19"/>
                <w:szCs w:val="19"/>
              </w:rPr>
              <w:t xml:space="preserve">Filing</w:t>
            </w:r>
          </w:p>
        </w:tc>
        <w:tc>
          <w:tcPr>
            <w:tcW w:type="dxa" w:w="6191"/>
            <w:shd w:fill="8B0000" w:color="auto" w:val="clear"/>
            <w:tcMar>
              <w:top w:type="dxa" w:w="60"/>
              <w:left w:type="dxa" w:w="100"/>
              <w:bottom w:type="dxa" w:w="60"/>
              <w:right w:type="dxa" w:w="100"/>
            </w:tcMar>
          </w:tcPr>
          <w:p>
            <w:r>
              <w:rPr>
                <w:b/>
                <w:bCs/>
                <w:color w:val="FFFFFF"/>
                <w:sz w:val="19"/>
                <w:szCs w:val="19"/>
              </w:rPr>
              <w:t xml:space="preserve">Extension rule</w:t>
            </w:r>
          </w:p>
        </w:tc>
      </w:tr>
      <w:tr>
        <w:tc>
          <w:tcPr>
            <w:tcW w:type="dxa" w:w="2880"/>
            <w:shd w:fill="F5F5F5" w:color="auto" w:val="clear"/>
            <w:tcMar>
              <w:top w:type="dxa" w:w="50"/>
              <w:left w:type="dxa" w:w="100"/>
              <w:bottom w:type="dxa" w:w="50"/>
              <w:right w:type="dxa" w:w="100"/>
            </w:tcMar>
          </w:tcPr>
          <w:p>
            <w:r>
              <w:rPr>
                <w:sz w:val="19"/>
                <w:szCs w:val="19"/>
              </w:rPr>
              <w:t xml:space="preserve">Form 990 or 990-EZ</w:t>
            </w:r>
          </w:p>
        </w:tc>
        <w:tc>
          <w:tcPr>
            <w:tcW w:type="dxa" w:w="6191"/>
            <w:shd w:fill="F5F5F5" w:color="auto" w:val="clear"/>
            <w:tcMar>
              <w:top w:type="dxa" w:w="50"/>
              <w:left w:type="dxa" w:w="100"/>
              <w:bottom w:type="dxa" w:w="50"/>
              <w:right w:type="dxa" w:w="100"/>
            </w:tcMar>
          </w:tcPr>
          <w:p>
            <w:r>
              <w:rPr>
                <w:sz w:val="19"/>
                <w:szCs w:val="19"/>
              </w:rPr>
              <w:t xml:space="preserve">Form 8868 may be used to request an automatic six-month extension when filed on time.</w:t>
            </w:r>
          </w:p>
        </w:tc>
      </w:tr>
      <w:tr>
        <w:tc>
          <w:tcPr>
            <w:tcW w:type="dxa" w:w="2880"/>
            <w:shd w:fill="FFFFFF" w:color="auto" w:val="clear"/>
            <w:tcMar>
              <w:top w:type="dxa" w:w="50"/>
              <w:left w:type="dxa" w:w="100"/>
              <w:bottom w:type="dxa" w:w="50"/>
              <w:right w:type="dxa" w:w="100"/>
            </w:tcMar>
          </w:tcPr>
          <w:p>
            <w:r>
              <w:rPr>
                <w:sz w:val="19"/>
                <w:szCs w:val="19"/>
              </w:rPr>
              <w:t xml:space="preserve">Form 990-N</w:t>
            </w:r>
          </w:p>
        </w:tc>
        <w:tc>
          <w:tcPr>
            <w:tcW w:type="dxa" w:w="6191"/>
            <w:shd w:fill="FFFFFF" w:color="auto" w:val="clear"/>
            <w:tcMar>
              <w:top w:type="dxa" w:w="50"/>
              <w:left w:type="dxa" w:w="100"/>
              <w:bottom w:type="dxa" w:w="50"/>
              <w:right w:type="dxa" w:w="100"/>
            </w:tcMar>
          </w:tcPr>
          <w:p>
            <w:r>
              <w:rPr>
                <w:sz w:val="19"/>
                <w:szCs w:val="19"/>
              </w:rPr>
              <w:t xml:space="preserve">The due date cannot be extended with Form 8868.</w:t>
            </w:r>
          </w:p>
        </w:tc>
      </w:tr>
    </w:tbl>
    <w:p>
      <w:pPr>
        <w:spacing w:after="160"/>
      </w:pPr>
    </w:p>
    <w:p>
      <w:pPr>
        <w:pStyle w:val="Heading2"/>
        <w:spacing w:after="120" w:before="240"/>
      </w:pPr>
      <w:r>
        <w:t xml:space="preserve">Failure to file</w:t>
      </w:r>
    </w:p>
    <w:p>
      <w:pPr>
        <w:spacing w:after="140"/>
      </w:pPr>
      <w:r>
        <w:t xml:space="preserve">Failure to file a required annual return or notice for three consecutive years results in automatic revocation of federal tax-exempt status. A late Form 990-N generally does not carry a monetary penalty, but the three-year automatic-revocation rule still applies. Other 990-series returns may be subject to late-filing consequences.</w:t>
      </w:r>
    </w:p>
    <w:p>
      <w:pPr>
        <w:pBdr>
          <w:left w:val="single" w:color="8B0000" w:sz="18" w:space="8"/>
        </w:pBdr>
        <w:spacing w:after="220" w:before="120"/>
        <w:ind w:left="215"/>
      </w:pPr>
      <w:r>
        <w:rPr>
          <w:b/>
          <w:bCs/>
          <w:color w:val="8B0000"/>
        </w:rPr>
        <w:t xml:space="preserve">Important correction from the prior guide — </w:t>
      </w:r>
      <w:r>
        <w:rPr>
          <w:color w:val="1A1A1A"/>
        </w:rPr>
        <w:t xml:space="preserve">The six-month Form 8868 extension does not apply to Form 990-N. It applies to eligible returns such as Form 990 and Form 990-EZ. The database should accurately identify the filing type before any extension is recorded.</w:t>
      </w:r>
    </w:p>
    <w:p>
      <w:pPr>
        <w:pStyle w:val="Heading2"/>
        <w:spacing w:after="120" w:before="240"/>
      </w:pPr>
      <w:r>
        <w:t xml:space="preserve">Official IRS references</w:t>
      </w:r>
    </w:p>
    <w:p>
      <w:pPr>
        <w:spacing w:after="60"/>
      </w:pPr>
      <w:hyperlink w:history="1" r:id="rIdfytbs_vf_-b_zvhzr0osb">
        <w:r>
          <w:rPr>
            <w:color w:val="0563C1"/>
            <w:u w:val="single"/>
          </w:rPr>
          <w:t xml:space="preserve">IRS: Annual exempt organization return due date</w:t>
        </w:r>
      </w:hyperlink>
    </w:p>
    <w:p>
      <w:pPr>
        <w:spacing w:after="60"/>
      </w:pPr>
      <w:hyperlink w:history="1" r:id="rIdroizwmtvckonizx8jsrbk">
        <w:r>
          <w:rPr>
            <w:color w:val="0563C1"/>
            <w:u w:val="single"/>
          </w:rPr>
          <w:t xml:space="preserve">IRS: Form 990-N (e-Postcard)</w:t>
        </w:r>
      </w:hyperlink>
    </w:p>
    <w:p>
      <w:pPr>
        <w:spacing w:after="60"/>
      </w:pPr>
      <w:hyperlink w:history="1" r:id="rIdphtkfdtr1okb7m5je88tn">
        <w:r>
          <w:rPr>
            <w:color w:val="0563C1"/>
            <w:u w:val="single"/>
          </w:rPr>
          <w:t xml:space="preserve">IRS: About Form 8868</w:t>
        </w:r>
      </w:hyperlink>
    </w:p>
    <w:p>
      <w:pPr>
        <w:spacing w:after="140"/>
      </w:pPr>
      <w:r>
        <w:t xml:space="preserve">IRS rules can change. Confirm the filing requirement with the current IRS instructions or a qualified tax professional.</w:t>
      </w:r>
    </w:p>
    <w:p>
      <w:pPr>
        <w:pStyle w:val="Heading1"/>
        <w:pBdr>
          <w:bottom w:val="single" w:color="8B0000" w:sz="6" w:space="4"/>
        </w:pBdr>
        <w:spacing w:after="160" w:before="360"/>
      </w:pPr>
      <w:r>
        <w:t xml:space="preserve">10. Appendix A – Filing Form 990-N: Questions and Answers</w:t>
      </w:r>
    </w:p>
    <w:p>
      <w:pPr>
        <w:pStyle w:val="Heading2"/>
        <w:spacing w:after="120" w:before="240"/>
      </w:pPr>
      <w:r>
        <w:t xml:space="preserve">How is Form 990-N filed?</w:t>
      </w:r>
    </w:p>
    <w:p>
      <w:pPr>
        <w:spacing w:after="140"/>
      </w:pPr>
      <w:r>
        <w:t xml:space="preserve">Form 990-N is filed electronically with the IRS. There is no paper Form 990-N. Complete the IRS filing before entering the verification record in the AMVETS Riders database.</w:t>
      </w:r>
    </w:p>
    <w:p>
      <w:pPr>
        <w:pStyle w:val="Heading2"/>
        <w:spacing w:after="120" w:before="240"/>
      </w:pPr>
      <w:r>
        <w:t xml:space="preserve">Who may be eligible to file Form 990-N?</w:t>
      </w:r>
    </w:p>
    <w:p>
      <w:pPr>
        <w:spacing w:after="140"/>
      </w:pPr>
      <w:r>
        <w:t xml:space="preserve">Most small tax-exempt organizations whose annual gross receipts are normally $50,000 or less may be eligible, subject to IRS rules and exceptions. Confirm eligibility using current IRS guidance.</w:t>
      </w:r>
    </w:p>
    <w:p>
      <w:pPr>
        <w:pStyle w:val="Heading2"/>
        <w:spacing w:after="120" w:before="240"/>
      </w:pPr>
      <w:r>
        <w:t xml:space="preserve">When is it due?</w:t>
      </w:r>
    </w:p>
    <w:p>
      <w:pPr>
        <w:spacing w:after="140"/>
      </w:pPr>
      <w:r>
        <w:t xml:space="preserve">It is due annually by the 15th day of the fifth month after the close of the tax year. The e-Postcard cannot be filed until the tax year has ended.</w:t>
      </w:r>
    </w:p>
    <w:p>
      <w:pPr>
        <w:pStyle w:val="Heading2"/>
        <w:spacing w:after="120" w:before="240"/>
      </w:pPr>
      <w:r>
        <w:t xml:space="preserve">How is the tax year determined?</w:t>
      </w:r>
    </w:p>
    <w:p>
      <w:pPr>
        <w:spacing w:after="140"/>
      </w:pPr>
      <w:r>
        <w:t xml:space="preserve">A calendar tax year is January 1 through December 31. A fiscal tax year is a 12-month period ending on the last day of a month other than December. Check the organization's governing documents, exemption records, IRS filings, or tax professional guidance.</w:t>
      </w:r>
    </w:p>
    <w:p>
      <w:pPr>
        <w:pStyle w:val="Heading2"/>
        <w:spacing w:after="120" w:before="240"/>
      </w:pPr>
      <w:r>
        <w:t xml:space="preserve">Can Form 990-N receive a six-month extension?</w:t>
      </w:r>
    </w:p>
    <w:p>
      <w:pPr>
        <w:spacing w:after="140"/>
      </w:pPr>
      <w:r>
        <w:t xml:space="preserve">No. Form 8868 cannot extend the Form 990-N due date.</w:t>
      </w:r>
    </w:p>
    <w:p>
      <w:pPr>
        <w:pStyle w:val="Heading2"/>
        <w:spacing w:after="120" w:before="240"/>
      </w:pPr>
      <w:r>
        <w:t xml:space="preserve">Where tax-year information may be found</w:t>
      </w:r>
    </w:p>
    <w:p>
      <w:pPr>
        <w:pStyle w:val="ListParagraph"/>
        <w:numPr>
          <w:ilvl w:val="0"/>
          <w:numId w:val="2"/>
        </w:numPr>
        <w:spacing w:after="60"/>
      </w:pPr>
      <w:r>
        <w:t xml:space="preserve">The organization's By-Laws or other governing documents.</w:t>
      </w:r>
    </w:p>
    <w:p>
      <w:pPr>
        <w:pStyle w:val="ListParagraph"/>
        <w:numPr>
          <w:ilvl w:val="0"/>
          <w:numId w:val="2"/>
        </w:numPr>
        <w:spacing w:after="60"/>
      </w:pPr>
      <w:r>
        <w:t xml:space="preserve">The exemption application or determination letter.</w:t>
      </w:r>
    </w:p>
    <w:p>
      <w:pPr>
        <w:pStyle w:val="ListParagraph"/>
        <w:numPr>
          <w:ilvl w:val="0"/>
          <w:numId w:val="2"/>
        </w:numPr>
        <w:spacing w:after="60"/>
      </w:pPr>
      <w:r>
        <w:t xml:space="preserve">Formation documents, such as articles and the EIN record.</w:t>
      </w:r>
    </w:p>
    <w:p>
      <w:pPr>
        <w:pStyle w:val="ListParagraph"/>
        <w:numPr>
          <w:ilvl w:val="0"/>
          <w:numId w:val="2"/>
        </w:numPr>
        <w:spacing w:after="60"/>
      </w:pPr>
      <w:r>
        <w:t xml:space="preserve">A prior Form 990, 990-EZ, or 990-N filing.</w:t>
      </w:r>
    </w:p>
    <w:p>
      <w:pPr>
        <w:pStyle w:val="Heading1"/>
        <w:pBdr>
          <w:bottom w:val="single" w:color="8B0000" w:sz="6" w:space="4"/>
        </w:pBdr>
        <w:spacing w:after="160" w:before="360"/>
      </w:pPr>
      <w:r>
        <w:t xml:space="preserve">11. Appendix A – Form 990-N Information and Verification</w:t>
      </w:r>
    </w:p>
    <w:p>
      <w:pPr>
        <w:pStyle w:val="Heading2"/>
        <w:spacing w:after="120" w:before="240"/>
      </w:pPr>
      <w:r>
        <w:t xml:space="preserve">Information commonly needed for Form 990-N</w:t>
      </w:r>
    </w:p>
    <w:tbl>
      <w:tblPr>
        <w:tblW w:type="dxa" w:w="8784"/>
        <w:tblBorders>
          <w:top w:val="single" w:color="auto" w:sz="4"/>
          <w:left w:val="single" w:color="auto" w:sz="4"/>
          <w:bottom w:val="single" w:color="auto" w:sz="4"/>
          <w:right w:val="single" w:color="auto" w:sz="4"/>
          <w:insideH w:val="single" w:color="auto" w:sz="4"/>
          <w:insideV w:val="single" w:color="auto" w:sz="4"/>
        </w:tblBorders>
      </w:tblPr>
      <w:tblGrid>
        <w:gridCol w:w="720"/>
        <w:gridCol w:w="8064"/>
      </w:tblGrid>
      <w:tr>
        <w:trPr>
          <w:tblHeader/>
        </w:trPr>
        <w:tc>
          <w:tcPr>
            <w:tcW w:type="dxa" w:w="720"/>
            <w:shd w:fill="8B0000" w:color="auto" w:val="clear"/>
            <w:tcMar>
              <w:top w:type="dxa" w:w="60"/>
              <w:left w:type="dxa" w:w="100"/>
              <w:bottom w:type="dxa" w:w="60"/>
              <w:right w:type="dxa" w:w="100"/>
            </w:tcMar>
          </w:tcPr>
          <w:p>
            <w:r>
              <w:rPr>
                <w:b/>
                <w:bCs/>
                <w:color w:val="FFFFFF"/>
                <w:sz w:val="19"/>
                <w:szCs w:val="19"/>
              </w:rPr>
              <w:t xml:space="preserve"/>
            </w:r>
          </w:p>
        </w:tc>
        <w:tc>
          <w:tcPr>
            <w:tcW w:type="dxa" w:w="8064"/>
            <w:shd w:fill="8B0000" w:color="auto" w:val="clear"/>
            <w:tcMar>
              <w:top w:type="dxa" w:w="60"/>
              <w:left w:type="dxa" w:w="100"/>
              <w:bottom w:type="dxa" w:w="60"/>
              <w:right w:type="dxa" w:w="100"/>
            </w:tcMar>
          </w:tcPr>
          <w:p>
            <w:r>
              <w:rPr>
                <w:b/>
                <w:bCs/>
                <w:color w:val="FFFFFF"/>
                <w:sz w:val="19"/>
                <w:szCs w:val="19"/>
              </w:rPr>
              <w:t xml:space="preserve">Information</w:t>
            </w:r>
          </w:p>
        </w:tc>
      </w:tr>
      <w:tr>
        <w:tc>
          <w:tcPr>
            <w:tcW w:type="dxa" w:w="720"/>
            <w:shd w:fill="F5F5F5" w:color="auto" w:val="clear"/>
            <w:tcMar>
              <w:top w:type="dxa" w:w="50"/>
              <w:left w:type="dxa" w:w="100"/>
              <w:bottom w:type="dxa" w:w="50"/>
              <w:right w:type="dxa" w:w="100"/>
            </w:tcMar>
          </w:tcPr>
          <w:p>
            <w:r>
              <w:rPr>
                <w:sz w:val="19"/>
                <w:szCs w:val="19"/>
              </w:rPr>
              <w:t xml:space="preserve">1</w:t>
            </w:r>
          </w:p>
        </w:tc>
        <w:tc>
          <w:tcPr>
            <w:tcW w:type="dxa" w:w="8064"/>
            <w:shd w:fill="F5F5F5" w:color="auto" w:val="clear"/>
            <w:tcMar>
              <w:top w:type="dxa" w:w="50"/>
              <w:left w:type="dxa" w:w="100"/>
              <w:bottom w:type="dxa" w:w="50"/>
              <w:right w:type="dxa" w:w="100"/>
            </w:tcMar>
          </w:tcPr>
          <w:p>
            <w:r>
              <w:rPr>
                <w:sz w:val="19"/>
                <w:szCs w:val="19"/>
              </w:rPr>
              <w:t xml:space="preserve">Employer identification number (EIN).</w:t>
            </w:r>
          </w:p>
        </w:tc>
      </w:tr>
      <w:tr>
        <w:tc>
          <w:tcPr>
            <w:tcW w:type="dxa" w:w="720"/>
            <w:shd w:fill="FFFFFF" w:color="auto" w:val="clear"/>
            <w:tcMar>
              <w:top w:type="dxa" w:w="50"/>
              <w:left w:type="dxa" w:w="100"/>
              <w:bottom w:type="dxa" w:w="50"/>
              <w:right w:type="dxa" w:w="100"/>
            </w:tcMar>
          </w:tcPr>
          <w:p>
            <w:r>
              <w:rPr>
                <w:sz w:val="19"/>
                <w:szCs w:val="19"/>
              </w:rPr>
              <w:t xml:space="preserve">2</w:t>
            </w:r>
          </w:p>
        </w:tc>
        <w:tc>
          <w:tcPr>
            <w:tcW w:type="dxa" w:w="8064"/>
            <w:shd w:fill="FFFFFF" w:color="auto" w:val="clear"/>
            <w:tcMar>
              <w:top w:type="dxa" w:w="50"/>
              <w:left w:type="dxa" w:w="100"/>
              <w:bottom w:type="dxa" w:w="50"/>
              <w:right w:type="dxa" w:w="100"/>
            </w:tcMar>
          </w:tcPr>
          <w:p>
            <w:r>
              <w:rPr>
                <w:sz w:val="19"/>
                <w:szCs w:val="19"/>
              </w:rPr>
              <w:t xml:space="preserve">Tax year.</w:t>
            </w:r>
          </w:p>
        </w:tc>
      </w:tr>
      <w:tr>
        <w:tc>
          <w:tcPr>
            <w:tcW w:type="dxa" w:w="720"/>
            <w:shd w:fill="F5F5F5" w:color="auto" w:val="clear"/>
            <w:tcMar>
              <w:top w:type="dxa" w:w="50"/>
              <w:left w:type="dxa" w:w="100"/>
              <w:bottom w:type="dxa" w:w="50"/>
              <w:right w:type="dxa" w:w="100"/>
            </w:tcMar>
          </w:tcPr>
          <w:p>
            <w:r>
              <w:rPr>
                <w:sz w:val="19"/>
                <w:szCs w:val="19"/>
              </w:rPr>
              <w:t xml:space="preserve">3</w:t>
            </w:r>
          </w:p>
        </w:tc>
        <w:tc>
          <w:tcPr>
            <w:tcW w:type="dxa" w:w="8064"/>
            <w:shd w:fill="F5F5F5" w:color="auto" w:val="clear"/>
            <w:tcMar>
              <w:top w:type="dxa" w:w="50"/>
              <w:left w:type="dxa" w:w="100"/>
              <w:bottom w:type="dxa" w:w="50"/>
              <w:right w:type="dxa" w:w="100"/>
            </w:tcMar>
          </w:tcPr>
          <w:p>
            <w:r>
              <w:rPr>
                <w:sz w:val="19"/>
                <w:szCs w:val="19"/>
              </w:rPr>
              <w:t xml:space="preserve">Legal name and mailing address.</w:t>
            </w:r>
          </w:p>
        </w:tc>
      </w:tr>
      <w:tr>
        <w:tc>
          <w:tcPr>
            <w:tcW w:type="dxa" w:w="720"/>
            <w:shd w:fill="FFFFFF" w:color="auto" w:val="clear"/>
            <w:tcMar>
              <w:top w:type="dxa" w:w="50"/>
              <w:left w:type="dxa" w:w="100"/>
              <w:bottom w:type="dxa" w:w="50"/>
              <w:right w:type="dxa" w:w="100"/>
            </w:tcMar>
          </w:tcPr>
          <w:p>
            <w:r>
              <w:rPr>
                <w:sz w:val="19"/>
                <w:szCs w:val="19"/>
              </w:rPr>
              <w:t xml:space="preserve">4</w:t>
            </w:r>
          </w:p>
        </w:tc>
        <w:tc>
          <w:tcPr>
            <w:tcW w:type="dxa" w:w="8064"/>
            <w:shd w:fill="FFFFFF" w:color="auto" w:val="clear"/>
            <w:tcMar>
              <w:top w:type="dxa" w:w="50"/>
              <w:left w:type="dxa" w:w="100"/>
              <w:bottom w:type="dxa" w:w="50"/>
              <w:right w:type="dxa" w:w="100"/>
            </w:tcMar>
          </w:tcPr>
          <w:p>
            <w:r>
              <w:rPr>
                <w:sz w:val="19"/>
                <w:szCs w:val="19"/>
              </w:rPr>
              <w:t xml:space="preserve">Other names the organization uses.</w:t>
            </w:r>
          </w:p>
        </w:tc>
      </w:tr>
      <w:tr>
        <w:tc>
          <w:tcPr>
            <w:tcW w:type="dxa" w:w="720"/>
            <w:shd w:fill="F5F5F5" w:color="auto" w:val="clear"/>
            <w:tcMar>
              <w:top w:type="dxa" w:w="50"/>
              <w:left w:type="dxa" w:w="100"/>
              <w:bottom w:type="dxa" w:w="50"/>
              <w:right w:type="dxa" w:w="100"/>
            </w:tcMar>
          </w:tcPr>
          <w:p>
            <w:r>
              <w:rPr>
                <w:sz w:val="19"/>
                <w:szCs w:val="19"/>
              </w:rPr>
              <w:t xml:space="preserve">5</w:t>
            </w:r>
          </w:p>
        </w:tc>
        <w:tc>
          <w:tcPr>
            <w:tcW w:type="dxa" w:w="8064"/>
            <w:shd w:fill="F5F5F5" w:color="auto" w:val="clear"/>
            <w:tcMar>
              <w:top w:type="dxa" w:w="50"/>
              <w:left w:type="dxa" w:w="100"/>
              <w:bottom w:type="dxa" w:w="50"/>
              <w:right w:type="dxa" w:w="100"/>
            </w:tcMar>
          </w:tcPr>
          <w:p>
            <w:r>
              <w:rPr>
                <w:sz w:val="19"/>
                <w:szCs w:val="19"/>
              </w:rPr>
              <w:t xml:space="preserve">Name and address of a principal officer. Use the official organization or Post address when appropriate and consistent with IRS records, not an officer's personal address merely for convenience.</w:t>
            </w:r>
          </w:p>
        </w:tc>
      </w:tr>
      <w:tr>
        <w:tc>
          <w:tcPr>
            <w:tcW w:type="dxa" w:w="720"/>
            <w:shd w:fill="FFFFFF" w:color="auto" w:val="clear"/>
            <w:tcMar>
              <w:top w:type="dxa" w:w="50"/>
              <w:left w:type="dxa" w:w="100"/>
              <w:bottom w:type="dxa" w:w="50"/>
              <w:right w:type="dxa" w:w="100"/>
            </w:tcMar>
          </w:tcPr>
          <w:p>
            <w:r>
              <w:rPr>
                <w:sz w:val="19"/>
                <w:szCs w:val="19"/>
              </w:rPr>
              <w:t xml:space="preserve">6</w:t>
            </w:r>
          </w:p>
        </w:tc>
        <w:tc>
          <w:tcPr>
            <w:tcW w:type="dxa" w:w="8064"/>
            <w:shd w:fill="FFFFFF" w:color="auto" w:val="clear"/>
            <w:tcMar>
              <w:top w:type="dxa" w:w="50"/>
              <w:left w:type="dxa" w:w="100"/>
              <w:bottom w:type="dxa" w:w="50"/>
              <w:right w:type="dxa" w:w="100"/>
            </w:tcMar>
          </w:tcPr>
          <w:p>
            <w:r>
              <w:rPr>
                <w:sz w:val="19"/>
                <w:szCs w:val="19"/>
              </w:rPr>
              <w:t xml:space="preserve">Website address, if the organization has one.</w:t>
            </w:r>
          </w:p>
        </w:tc>
      </w:tr>
      <w:tr>
        <w:tc>
          <w:tcPr>
            <w:tcW w:type="dxa" w:w="720"/>
            <w:shd w:fill="F5F5F5" w:color="auto" w:val="clear"/>
            <w:tcMar>
              <w:top w:type="dxa" w:w="50"/>
              <w:left w:type="dxa" w:w="100"/>
              <w:bottom w:type="dxa" w:w="50"/>
              <w:right w:type="dxa" w:w="100"/>
            </w:tcMar>
          </w:tcPr>
          <w:p>
            <w:r>
              <w:rPr>
                <w:sz w:val="19"/>
                <w:szCs w:val="19"/>
              </w:rPr>
              <w:t xml:space="preserve">7</w:t>
            </w:r>
          </w:p>
        </w:tc>
        <w:tc>
          <w:tcPr>
            <w:tcW w:type="dxa" w:w="8064"/>
            <w:shd w:fill="F5F5F5" w:color="auto" w:val="clear"/>
            <w:tcMar>
              <w:top w:type="dxa" w:w="50"/>
              <w:left w:type="dxa" w:w="100"/>
              <w:bottom w:type="dxa" w:w="50"/>
              <w:right w:type="dxa" w:w="100"/>
            </w:tcMar>
          </w:tcPr>
          <w:p>
            <w:r>
              <w:rPr>
                <w:sz w:val="19"/>
                <w:szCs w:val="19"/>
              </w:rPr>
              <w:t xml:space="preserve">Confirmation that annual gross receipts are normally $50,000 or less, when applicable.</w:t>
            </w:r>
          </w:p>
        </w:tc>
      </w:tr>
      <w:tr>
        <w:tc>
          <w:tcPr>
            <w:tcW w:type="dxa" w:w="720"/>
            <w:shd w:fill="FFFFFF" w:color="auto" w:val="clear"/>
            <w:tcMar>
              <w:top w:type="dxa" w:w="50"/>
              <w:left w:type="dxa" w:w="100"/>
              <w:bottom w:type="dxa" w:w="50"/>
              <w:right w:type="dxa" w:w="100"/>
            </w:tcMar>
          </w:tcPr>
          <w:p>
            <w:r>
              <w:rPr>
                <w:sz w:val="19"/>
                <w:szCs w:val="19"/>
              </w:rPr>
              <w:t xml:space="preserve">8</w:t>
            </w:r>
          </w:p>
        </w:tc>
        <w:tc>
          <w:tcPr>
            <w:tcW w:type="dxa" w:w="8064"/>
            <w:shd w:fill="FFFFFF" w:color="auto" w:val="clear"/>
            <w:tcMar>
              <w:top w:type="dxa" w:w="50"/>
              <w:left w:type="dxa" w:w="100"/>
              <w:bottom w:type="dxa" w:w="50"/>
              <w:right w:type="dxa" w:w="100"/>
            </w:tcMar>
          </w:tcPr>
          <w:p>
            <w:r>
              <w:rPr>
                <w:sz w:val="19"/>
                <w:szCs w:val="19"/>
              </w:rPr>
              <w:t xml:space="preserve">A statement regarding termination or going out of business, when applicable.</w:t>
            </w:r>
          </w:p>
        </w:tc>
      </w:tr>
    </w:tbl>
    <w:p>
      <w:pPr>
        <w:spacing w:after="160"/>
      </w:pPr>
    </w:p>
    <w:p>
      <w:pPr>
        <w:pStyle w:val="Heading2"/>
        <w:spacing w:after="120" w:before="240"/>
      </w:pPr>
      <w:r>
        <w:t xml:space="preserve">How to locate and verify prior filings</w:t>
      </w:r>
    </w:p>
    <w:p>
      <w:pPr>
        <w:pStyle w:val="ListParagraph"/>
        <w:numPr>
          <w:ilvl w:val="0"/>
          <w:numId w:val="2"/>
        </w:numPr>
        <w:spacing w:after="60"/>
      </w:pPr>
      <w:r>
        <w:t xml:space="preserve">Open the IRS Tax-Exempt Organization Search.</w:t>
      </w:r>
    </w:p>
    <w:p>
      <w:pPr>
        <w:pStyle w:val="ListParagraph"/>
        <w:numPr>
          <w:ilvl w:val="0"/>
          <w:numId w:val="2"/>
        </w:numPr>
        <w:spacing w:after="60"/>
      </w:pPr>
      <w:r>
        <w:t xml:space="preserve">Search using the organization's EIN whenever possible.</w:t>
      </w:r>
    </w:p>
    <w:p>
      <w:pPr>
        <w:pStyle w:val="ListParagraph"/>
        <w:numPr>
          <w:ilvl w:val="0"/>
          <w:numId w:val="2"/>
        </w:numPr>
        <w:spacing w:after="60"/>
      </w:pPr>
      <w:r>
        <w:t xml:space="preserve">Confirm the legal name, state, filing type, and tax period.</w:t>
      </w:r>
    </w:p>
    <w:p>
      <w:pPr>
        <w:pStyle w:val="ListParagraph"/>
        <w:numPr>
          <w:ilvl w:val="0"/>
          <w:numId w:val="2"/>
        </w:numPr>
        <w:spacing w:after="60"/>
      </w:pPr>
      <w:r>
        <w:t xml:space="preserve">Compare the IRS result with the Chapter or Department selected in the Riders database.</w:t>
      </w:r>
    </w:p>
    <w:p>
      <w:pPr>
        <w:pStyle w:val="ListParagraph"/>
        <w:numPr>
          <w:ilvl w:val="0"/>
          <w:numId w:val="2"/>
        </w:numPr>
        <w:spacing w:after="60"/>
      </w:pPr>
      <w:r>
        <w:t xml:space="preserve">Enter the result and save the appropriate verification status in the Compliance area.</w:t>
      </w:r>
    </w:p>
    <w:p>
      <w:pPr>
        <w:spacing w:after="60"/>
      </w:pPr>
      <w:hyperlink w:history="1" r:id="rIdu_vrgkao6bhayfnr2g2ke">
        <w:r>
          <w:rPr>
            <w:color w:val="0563C1"/>
            <w:u w:val="single"/>
          </w:rPr>
          <w:t xml:space="preserve">IRS Tax-Exempt Organization Search</w:t>
        </w:r>
      </w:hyperlink>
    </w:p>
    <w:p>
      <w:pPr>
        <w:spacing w:after="60"/>
      </w:pPr>
      <w:hyperlink w:history="1" r:id="rIdoonogsa9fktcssx7vcjoa">
        <w:r>
          <w:rPr>
            <w:color w:val="0563C1"/>
            <w:u w:val="single"/>
          </w:rPr>
          <w:t xml:space="preserve">AMVETS Riders Membership Database</w:t>
        </w:r>
      </w:hyperlink>
    </w:p>
    <w:p>
      <w:pPr>
        <w:pBdr>
          <w:left w:val="single" w:color="8A6200" w:sz="18" w:space="8"/>
        </w:pBdr>
        <w:spacing w:after="220" w:before="120"/>
        <w:ind w:left="215"/>
      </w:pPr>
      <w:r>
        <w:rPr>
          <w:b/>
          <w:bCs/>
          <w:color w:val="8A6200"/>
        </w:rPr>
        <w:t xml:space="preserve">Do not rely on a screenshot alone — </w:t>
      </w:r>
      <w:r>
        <w:rPr>
          <w:color w:val="1A1A1A"/>
        </w:rPr>
        <w:t xml:space="preserve">Use the IRS result to verify the correct organization, then save the actual compliance details in the database. A screenshot or emailed copy is not the official Riders verification record.</w:t>
      </w:r>
    </w:p>
    <w:p>
      <w:pPr>
        <w:pStyle w:val="Heading1"/>
        <w:pBdr>
          <w:bottom w:val="single" w:color="8B0000" w:sz="6" w:space="4"/>
        </w:pBdr>
        <w:spacing w:after="160" w:before="360"/>
      </w:pPr>
      <w:r>
        <w:t xml:space="preserve">12. Appendix B – AMVETS Riders Vest Guide: Front</w:t>
      </w:r>
    </w:p>
    <w:p>
      <w:pPr>
        <w:pStyle w:val="Heading2"/>
        <w:spacing w:after="120" w:before="240"/>
      </w:pPr>
      <w:r>
        <w:t xml:space="preserve">Front of vest</w:t>
      </w:r>
    </w:p>
    <w:p>
      <w:pPr>
        <w:pStyle w:val="ListParagraph"/>
        <w:numPr>
          <w:ilvl w:val="0"/>
          <w:numId w:val="2"/>
        </w:numPr>
        <w:spacing w:after="60"/>
      </w:pPr>
      <w:r>
        <w:t xml:space="preserve">United States Flag patch: over the heart and at the highest elevation on the front.</w:t>
      </w:r>
    </w:p>
    <w:p>
      <w:pPr>
        <w:pStyle w:val="ListParagraph"/>
        <w:numPr>
          <w:ilvl w:val="0"/>
          <w:numId w:val="2"/>
        </w:numPr>
        <w:spacing w:after="60"/>
      </w:pPr>
      <w:r>
        <w:t xml:space="preserve">Officer identification bars: directly below the flag as applicable.</w:t>
      </w:r>
    </w:p>
    <w:p>
      <w:pPr>
        <w:pStyle w:val="ListParagraph"/>
        <w:numPr>
          <w:ilvl w:val="0"/>
          <w:numId w:val="2"/>
        </w:numPr>
        <w:spacing w:after="60"/>
      </w:pPr>
      <w:r>
        <w:t xml:space="preserve">AMVETS parent organization patch: authorized right-chest position.</w:t>
      </w:r>
    </w:p>
    <w:p>
      <w:pPr>
        <w:pStyle w:val="ListParagraph"/>
        <w:numPr>
          <w:ilvl w:val="0"/>
          <w:numId w:val="2"/>
        </w:numPr>
        <w:spacing w:after="60"/>
      </w:pPr>
      <w:r>
        <w:t xml:space="preserve">POW-MIA patch: authorized upper-front position, above the parent organization hat patch when that patch is worn.</w:t>
      </w:r>
    </w:p>
    <w:p>
      <w:pPr>
        <w:pStyle w:val="ListParagraph"/>
        <w:numPr>
          <w:ilvl w:val="0"/>
          <w:numId w:val="2"/>
        </w:numPr>
        <w:spacing w:after="60"/>
      </w:pPr>
      <w:r>
        <w:t xml:space="preserve">No side patches are permitted.</w:t>
      </w:r>
    </w:p>
    <w:p>
      <w:pPr>
        <w:spacing w:after="100" w:before="160"/>
        <w:jc w:val="center"/>
      </w:pPr>
      <w:r>
        <w:drawing>
          <wp:inline distT="0" distB="0" distL="0" distR="0">
            <wp:extent cx="190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2857500"/>
                    </a:xfrm>
                    <a:prstGeom prst="rect">
                      <a:avLst/>
                    </a:prstGeom>
                  </pic:spPr>
                </pic:pic>
              </a:graphicData>
            </a:graphic>
          </wp:inline>
        </w:drawing>
      </w:r>
    </w:p>
    <w:p>
      <w:pPr>
        <w:jc w:val="center"/>
      </w:pPr>
      <w:r>
        <w:rPr>
          <w:i/>
          <w:iCs/>
          <w:color w:val="1A1A1A"/>
          <w:sz w:val="19"/>
          <w:szCs w:val="19"/>
        </w:rPr>
        <w:t xml:space="preserve">Placement example – follow the current governing uniform standard.</w:t>
      </w:r>
    </w:p>
    <w:p>
      <w:pPr>
        <w:pStyle w:val="Heading1"/>
        <w:pBdr>
          <w:bottom w:val="single" w:color="8B0000" w:sz="6" w:space="4"/>
        </w:pBdr>
        <w:spacing w:after="160" w:before="360"/>
      </w:pPr>
      <w:r>
        <w:t xml:space="preserve">13. Appendix B – AMVETS Riders Vest Guide: Back</w:t>
      </w:r>
    </w:p>
    <w:p>
      <w:pPr>
        <w:pStyle w:val="Heading2"/>
        <w:spacing w:after="120" w:before="240"/>
      </w:pPr>
      <w:r>
        <w:t xml:space="preserve">Back of vest</w:t>
      </w:r>
    </w:p>
    <w:p>
      <w:pPr>
        <w:pStyle w:val="ListParagraph"/>
        <w:numPr>
          <w:ilvl w:val="0"/>
          <w:numId w:val="2"/>
        </w:numPr>
        <w:spacing w:after="60"/>
      </w:pPr>
      <w:r>
        <w:t xml:space="preserve">Top rocker: sewn directly above and touching the center patch.</w:t>
      </w:r>
    </w:p>
    <w:p>
      <w:pPr>
        <w:pStyle w:val="ListParagraph"/>
        <w:numPr>
          <w:ilvl w:val="0"/>
          <w:numId w:val="2"/>
        </w:numPr>
        <w:spacing w:after="60"/>
      </w:pPr>
      <w:r>
        <w:t xml:space="preserve">Center patch: official AMVETS Riders emblem in an authorized size.</w:t>
      </w:r>
    </w:p>
    <w:p>
      <w:pPr>
        <w:pStyle w:val="ListParagraph"/>
        <w:numPr>
          <w:ilvl w:val="0"/>
          <w:numId w:val="2"/>
        </w:numPr>
        <w:spacing w:after="60"/>
      </w:pPr>
      <w:r>
        <w:t xml:space="preserve">Bottom rocker: sewn directly below and touching the center patch.</w:t>
      </w:r>
    </w:p>
    <w:p>
      <w:pPr>
        <w:pStyle w:val="ListParagraph"/>
        <w:numPr>
          <w:ilvl w:val="0"/>
          <w:numId w:val="2"/>
        </w:numPr>
        <w:spacing w:after="60"/>
      </w:pPr>
      <w:r>
        <w:t xml:space="preserve">Rockers must touch the center patch with no gaps.</w:t>
      </w:r>
    </w:p>
    <w:p>
      <w:pPr>
        <w:pStyle w:val="ListParagraph"/>
        <w:numPr>
          <w:ilvl w:val="0"/>
          <w:numId w:val="2"/>
        </w:numPr>
        <w:spacing w:after="60"/>
      </w:pPr>
      <w:r>
        <w:t xml:space="preserve">No other patches are permitted on the back.</w:t>
      </w:r>
    </w:p>
    <w:p>
      <w:pPr>
        <w:spacing w:after="100" w:before="160"/>
        <w:jc w:val="center"/>
      </w:pPr>
      <w:r>
        <w:drawing>
          <wp:inline distT="0" distB="0" distL="0" distR="0">
            <wp:extent cx="21526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52650" cy="2857500"/>
                    </a:xfrm>
                    <a:prstGeom prst="rect">
                      <a:avLst/>
                    </a:prstGeom>
                  </pic:spPr>
                </pic:pic>
              </a:graphicData>
            </a:graphic>
          </wp:inline>
        </w:drawing>
      </w:r>
    </w:p>
    <w:p>
      <w:pPr>
        <w:jc w:val="center"/>
      </w:pPr>
      <w:r>
        <w:rPr>
          <w:i/>
          <w:iCs/>
          <w:color w:val="1A1A1A"/>
          <w:sz w:val="19"/>
          <w:szCs w:val="19"/>
        </w:rPr>
        <w:t xml:space="preserve">Placement example – Chapter/Post and City/Department rockers are shown as placeholders.</w:t>
      </w:r>
    </w:p>
    <w:p>
      <w:pPr>
        <w:pStyle w:val="Heading1"/>
        <w:pBdr>
          <w:bottom w:val="single" w:color="8B0000" w:sz="6" w:space="4"/>
        </w:pBdr>
        <w:spacing w:after="160" w:before="360"/>
      </w:pPr>
      <w:r>
        <w:t xml:space="preserve">14. Practical Guidance and Readiness Checklist</w:t>
      </w:r>
    </w:p>
    <w:p>
      <w:pPr>
        <w:pStyle w:val="Heading2"/>
        <w:spacing w:after="120" w:before="240"/>
      </w:pPr>
      <w:r>
        <w:t xml:space="preserve">Meeting protocols and order maintenance</w:t>
      </w:r>
    </w:p>
    <w:p>
      <w:pPr>
        <w:pStyle w:val="ListParagraph"/>
        <w:numPr>
          <w:ilvl w:val="0"/>
          <w:numId w:val="2"/>
        </w:numPr>
        <w:spacing w:after="60"/>
      </w:pPr>
      <w:r>
        <w:t xml:space="preserve">Arrive early and inspect the room, entrances, colors, and ceremonial equipment.</w:t>
      </w:r>
    </w:p>
    <w:p>
      <w:pPr>
        <w:pStyle w:val="ListParagraph"/>
        <w:numPr>
          <w:ilvl w:val="0"/>
          <w:numId w:val="2"/>
        </w:numPr>
        <w:spacing w:after="60"/>
      </w:pPr>
      <w:r>
        <w:t xml:space="preserve">Know the expected attendance, guests, agenda, and any sensitive business.</w:t>
      </w:r>
    </w:p>
    <w:p>
      <w:pPr>
        <w:pStyle w:val="ListParagraph"/>
        <w:numPr>
          <w:ilvl w:val="0"/>
          <w:numId w:val="2"/>
        </w:numPr>
        <w:spacing w:after="60"/>
      </w:pPr>
      <w:r>
        <w:t xml:space="preserve">Use calm verbal direction first whenever circumstances allow.</w:t>
      </w:r>
    </w:p>
    <w:p>
      <w:pPr>
        <w:pStyle w:val="ListParagraph"/>
        <w:numPr>
          <w:ilvl w:val="0"/>
          <w:numId w:val="2"/>
        </w:numPr>
        <w:spacing w:after="60"/>
      </w:pPr>
      <w:r>
        <w:t xml:space="preserve">Ask the President or Judge Advocate for guidance before escalating a non-emergency dispute.</w:t>
      </w:r>
    </w:p>
    <w:p>
      <w:pPr>
        <w:pStyle w:val="Heading2"/>
        <w:spacing w:after="120" w:before="240"/>
      </w:pPr>
      <w:r>
        <w:t xml:space="preserve">Conflict resolution and member discipline</w:t>
      </w:r>
    </w:p>
    <w:p>
      <w:pPr>
        <w:pStyle w:val="ListParagraph"/>
        <w:numPr>
          <w:ilvl w:val="0"/>
          <w:numId w:val="2"/>
        </w:numPr>
        <w:spacing w:after="60"/>
      </w:pPr>
      <w:r>
        <w:t xml:space="preserve">Separate behavior from personality and apply the same standard to everyone.</w:t>
      </w:r>
    </w:p>
    <w:p>
      <w:pPr>
        <w:pStyle w:val="ListParagraph"/>
        <w:numPr>
          <w:ilvl w:val="0"/>
          <w:numId w:val="2"/>
        </w:numPr>
        <w:spacing w:after="60"/>
      </w:pPr>
      <w:r>
        <w:t xml:space="preserve">State the rule, request compliance, and document what occurred when necessary.</w:t>
      </w:r>
    </w:p>
    <w:p>
      <w:pPr>
        <w:pStyle w:val="ListParagraph"/>
        <w:numPr>
          <w:ilvl w:val="0"/>
          <w:numId w:val="2"/>
        </w:numPr>
        <w:spacing w:after="60"/>
      </w:pPr>
      <w:r>
        <w:t xml:space="preserve">Protect due process and confidentiality.</w:t>
      </w:r>
    </w:p>
    <w:p>
      <w:pPr>
        <w:pStyle w:val="ListParagraph"/>
        <w:numPr>
          <w:ilvl w:val="0"/>
          <w:numId w:val="2"/>
        </w:numPr>
        <w:spacing w:after="60"/>
      </w:pPr>
      <w:r>
        <w:t xml:space="preserve">Use immediate safety action when a person or property is at risk.</w:t>
      </w:r>
    </w:p>
    <w:p>
      <w:pPr>
        <w:pStyle w:val="Heading2"/>
        <w:spacing w:after="120" w:before="240"/>
      </w:pPr>
      <w:r>
        <w:t xml:space="preserve">Event security and safety</w:t>
      </w:r>
    </w:p>
    <w:p>
      <w:pPr>
        <w:pStyle w:val="ListParagraph"/>
        <w:numPr>
          <w:ilvl w:val="0"/>
          <w:numId w:val="2"/>
        </w:numPr>
        <w:spacing w:after="60"/>
      </w:pPr>
      <w:r>
        <w:t xml:space="preserve">Confirm the event point of contact, emergency plan, route responsibilities, and staging area.</w:t>
      </w:r>
    </w:p>
    <w:p>
      <w:pPr>
        <w:pStyle w:val="ListParagraph"/>
        <w:numPr>
          <w:ilvl w:val="0"/>
          <w:numId w:val="2"/>
        </w:numPr>
        <w:spacing w:after="60"/>
      </w:pPr>
      <w:r>
        <w:t xml:space="preserve">Identify local emergency services and safe evacuation routes.</w:t>
      </w:r>
    </w:p>
    <w:p>
      <w:pPr>
        <w:pStyle w:val="ListParagraph"/>
        <w:numPr>
          <w:ilvl w:val="0"/>
          <w:numId w:val="2"/>
        </w:numPr>
        <w:spacing w:after="60"/>
      </w:pPr>
      <w:r>
        <w:t xml:space="preserve">Coordinate volunteers and communicate changes clearly.</w:t>
      </w:r>
    </w:p>
    <w:p>
      <w:pPr>
        <w:pStyle w:val="ListParagraph"/>
        <w:numPr>
          <w:ilvl w:val="0"/>
          <w:numId w:val="2"/>
        </w:numPr>
        <w:spacing w:after="60"/>
      </w:pPr>
      <w:r>
        <w:t xml:space="preserve">Report incidents promptly through the appropriate chain of command.</w:t>
      </w:r>
    </w:p>
    <w:p>
      <w:pPr>
        <w:pStyle w:val="Heading2"/>
        <w:spacing w:after="120" w:before="240"/>
      </w:pPr>
      <w:r>
        <w:t xml:space="preserve">Annual readiness checklist</w:t>
      </w:r>
    </w:p>
    <w:tbl>
      <w:tblPr>
        <w:tblW w:type="dxa" w:w="8784"/>
        <w:tblBorders>
          <w:top w:val="single" w:color="auto" w:sz="4"/>
          <w:left w:val="single" w:color="auto" w:sz="4"/>
          <w:bottom w:val="single" w:color="auto" w:sz="4"/>
          <w:right w:val="single" w:color="auto" w:sz="4"/>
          <w:insideH w:val="single" w:color="auto" w:sz="4"/>
          <w:insideV w:val="single" w:color="auto" w:sz="4"/>
        </w:tblBorders>
      </w:tblPr>
      <w:tblGrid>
        <w:gridCol w:w="720"/>
        <w:gridCol w:w="8064"/>
      </w:tblGrid>
      <w:tr>
        <w:trPr>
          <w:tblHeader/>
        </w:trPr>
        <w:tc>
          <w:tcPr>
            <w:tcW w:type="dxa" w:w="720"/>
            <w:shd w:fill="8B0000" w:color="auto" w:val="clear"/>
            <w:tcMar>
              <w:top w:type="dxa" w:w="60"/>
              <w:left w:type="dxa" w:w="100"/>
              <w:bottom w:type="dxa" w:w="60"/>
              <w:right w:type="dxa" w:w="100"/>
            </w:tcMar>
          </w:tcPr>
          <w:p>
            <w:r>
              <w:rPr>
                <w:b/>
                <w:bCs/>
                <w:color w:val="FFFFFF"/>
                <w:sz w:val="19"/>
                <w:szCs w:val="19"/>
              </w:rPr>
              <w:t xml:space="preserve"/>
            </w:r>
          </w:p>
        </w:tc>
        <w:tc>
          <w:tcPr>
            <w:tcW w:type="dxa" w:w="8064"/>
            <w:shd w:fill="8B0000" w:color="auto" w:val="clear"/>
            <w:tcMar>
              <w:top w:type="dxa" w:w="60"/>
              <w:left w:type="dxa" w:w="100"/>
              <w:bottom w:type="dxa" w:w="60"/>
              <w:right w:type="dxa" w:w="100"/>
            </w:tcMar>
          </w:tcPr>
          <w:p>
            <w:r>
              <w:rPr>
                <w:b/>
                <w:bCs/>
                <w:color w:val="FFFFFF"/>
                <w:sz w:val="19"/>
                <w:szCs w:val="19"/>
              </w:rPr>
              <w:t xml:space="preserve">Check</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Current governing documents reviewed.</w:t>
            </w:r>
          </w:p>
        </w:tc>
      </w:tr>
      <w:tr>
        <w:tc>
          <w:tcPr>
            <w:tcW w:type="dxa" w:w="720"/>
            <w:shd w:fill="FFFFFF" w:color="auto" w:val="clear"/>
            <w:tcMar>
              <w:top w:type="dxa" w:w="50"/>
              <w:left w:type="dxa" w:w="100"/>
              <w:bottom w:type="dxa" w:w="50"/>
              <w:right w:type="dxa" w:w="100"/>
            </w:tcMar>
          </w:tcPr>
          <w:p>
            <w:r>
              <w:rPr>
                <w:sz w:val="19"/>
                <w:szCs w:val="19"/>
              </w:rPr>
              <w:t xml:space="preserve">[ ]</w:t>
            </w:r>
          </w:p>
        </w:tc>
        <w:tc>
          <w:tcPr>
            <w:tcW w:type="dxa" w:w="8064"/>
            <w:shd w:fill="FFFFFF" w:color="auto" w:val="clear"/>
            <w:tcMar>
              <w:top w:type="dxa" w:w="50"/>
              <w:left w:type="dxa" w:w="100"/>
              <w:bottom w:type="dxa" w:w="50"/>
              <w:right w:type="dxa" w:w="100"/>
            </w:tcMar>
          </w:tcPr>
          <w:p>
            <w:r>
              <w:rPr>
                <w:sz w:val="19"/>
                <w:szCs w:val="19"/>
              </w:rPr>
              <w:t xml:space="preserve">Meeting and ceremonial responsibilities understood.</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Uniform and vest standards reviewed with members.</w:t>
            </w:r>
          </w:p>
        </w:tc>
      </w:tr>
      <w:tr>
        <w:tc>
          <w:tcPr>
            <w:tcW w:type="dxa" w:w="720"/>
            <w:shd w:fill="FFFFFF" w:color="auto" w:val="clear"/>
            <w:tcMar>
              <w:top w:type="dxa" w:w="50"/>
              <w:left w:type="dxa" w:w="100"/>
              <w:bottom w:type="dxa" w:w="50"/>
              <w:right w:type="dxa" w:w="100"/>
            </w:tcMar>
          </w:tcPr>
          <w:p>
            <w:r>
              <w:rPr>
                <w:sz w:val="19"/>
                <w:szCs w:val="19"/>
              </w:rPr>
              <w:t xml:space="preserve">[ ]</w:t>
            </w:r>
          </w:p>
        </w:tc>
        <w:tc>
          <w:tcPr>
            <w:tcW w:type="dxa" w:w="8064"/>
            <w:shd w:fill="FFFFFF" w:color="auto" w:val="clear"/>
            <w:tcMar>
              <w:top w:type="dxa" w:w="50"/>
              <w:left w:type="dxa" w:w="100"/>
              <w:bottom w:type="dxa" w:w="50"/>
              <w:right w:type="dxa" w:w="100"/>
            </w:tcMar>
          </w:tcPr>
          <w:p>
            <w:r>
              <w:rPr>
                <w:sz w:val="19"/>
                <w:szCs w:val="19"/>
              </w:rPr>
              <w:t xml:space="preserve">Current 990 filing cycle identified.</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IRS filing independently verified.</w:t>
            </w:r>
          </w:p>
        </w:tc>
      </w:tr>
      <w:tr>
        <w:tc>
          <w:tcPr>
            <w:tcW w:type="dxa" w:w="720"/>
            <w:shd w:fill="FFFFFF" w:color="auto" w:val="clear"/>
            <w:tcMar>
              <w:top w:type="dxa" w:w="50"/>
              <w:left w:type="dxa" w:w="100"/>
              <w:bottom w:type="dxa" w:w="50"/>
              <w:right w:type="dxa" w:w="100"/>
            </w:tcMar>
          </w:tcPr>
          <w:p>
            <w:r>
              <w:rPr>
                <w:sz w:val="19"/>
                <w:szCs w:val="19"/>
              </w:rPr>
              <w:t xml:space="preserve">[ ]</w:t>
            </w:r>
          </w:p>
        </w:tc>
        <w:tc>
          <w:tcPr>
            <w:tcW w:type="dxa" w:w="8064"/>
            <w:shd w:fill="FFFFFF" w:color="auto" w:val="clear"/>
            <w:tcMar>
              <w:top w:type="dxa" w:w="50"/>
              <w:left w:type="dxa" w:w="100"/>
              <w:bottom w:type="dxa" w:w="50"/>
              <w:right w:type="dxa" w:w="100"/>
            </w:tcMar>
          </w:tcPr>
          <w:p>
            <w:r>
              <w:rPr>
                <w:sz w:val="19"/>
                <w:szCs w:val="19"/>
              </w:rPr>
              <w:t xml:space="preserve">Chapter or Department compliance record saved in database.</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Department verification completed when applicable.</w:t>
            </w:r>
          </w:p>
        </w:tc>
      </w:tr>
      <w:tr>
        <w:tc>
          <w:tcPr>
            <w:tcW w:type="dxa" w:w="720"/>
            <w:shd w:fill="FFFFFF" w:color="auto" w:val="clear"/>
            <w:tcMar>
              <w:top w:type="dxa" w:w="50"/>
              <w:left w:type="dxa" w:w="100"/>
              <w:bottom w:type="dxa" w:w="50"/>
              <w:right w:type="dxa" w:w="100"/>
            </w:tcMar>
          </w:tcPr>
          <w:p>
            <w:r>
              <w:rPr>
                <w:sz w:val="19"/>
                <w:szCs w:val="19"/>
              </w:rPr>
              <w:t xml:space="preserve">[ ]</w:t>
            </w:r>
          </w:p>
        </w:tc>
        <w:tc>
          <w:tcPr>
            <w:tcW w:type="dxa" w:w="8064"/>
            <w:shd w:fill="FFFFFF" w:color="auto" w:val="clear"/>
            <w:tcMar>
              <w:top w:type="dxa" w:w="50"/>
              <w:left w:type="dxa" w:w="100"/>
              <w:bottom w:type="dxa" w:w="50"/>
              <w:right w:type="dxa" w:w="100"/>
            </w:tcMar>
          </w:tcPr>
          <w:p>
            <w:r>
              <w:rPr>
                <w:sz w:val="19"/>
                <w:szCs w:val="19"/>
              </w:rPr>
              <w:t xml:space="preserve">National final verification completed.</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Open issues transferred to the incoming Sgt-at-Arms.</w:t>
            </w:r>
          </w:p>
        </w:tc>
      </w:tr>
    </w:tbl>
    <w:p>
      <w:pPr>
        <w:pStyle w:val="Heading1"/>
        <w:pBdr>
          <w:bottom w:val="single" w:color="8B0000" w:sz="6" w:space="4"/>
        </w:pBdr>
        <w:spacing w:after="160" w:before="360"/>
      </w:pPr>
      <w:r>
        <w:t xml:space="preserve">15. Closing and Call to Action</w:t>
      </w:r>
    </w:p>
    <w:p>
      <w:pPr>
        <w:spacing w:before="100"/>
        <w:jc w:val="center"/>
      </w:pPr>
      <w:r>
        <w:drawing>
          <wp:inline distT="0" distB="0" distL="0" distR="0">
            <wp:extent cx="1143000" cy="113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0" cy="1133475"/>
                    </a:xfrm>
                    <a:prstGeom prst="rect">
                      <a:avLst/>
                    </a:prstGeom>
                  </pic:spPr>
                </pic:pic>
              </a:graphicData>
            </a:graphic>
          </wp:inline>
        </w:drawing>
      </w:r>
    </w:p>
    <w:p>
      <w:pPr>
        <w:spacing w:after="140" w:before="200"/>
        <w:jc w:val="center"/>
      </w:pPr>
      <w:r>
        <w:rPr>
          <w:b/>
          <w:bCs/>
          <w:color w:val="8B0000"/>
          <w:sz w:val="24"/>
          <w:szCs w:val="24"/>
        </w:rPr>
        <w:t xml:space="preserve">The Sgt-at-Arms protects order, safety, tradition, and compliance.</w:t>
      </w:r>
    </w:p>
    <w:p>
      <w:pPr>
        <w:spacing w:after="140"/>
      </w:pPr>
      <w:r>
        <w:t xml:space="preserve">Professional execution of meeting, ceremonial, uniform, security, and database responsibilities supports effective leadership and reflects positively on the AMVETS Riders at every level.</w:t>
      </w:r>
    </w:p>
    <w:p>
      <w:pPr>
        <w:pBdr>
          <w:left w:val="single" w:color="8B0000" w:sz="18" w:space="8"/>
        </w:pBdr>
        <w:spacing w:after="220" w:before="120"/>
        <w:ind w:left="215"/>
      </w:pPr>
      <w:r>
        <w:rPr>
          <w:b/>
          <w:bCs/>
          <w:color w:val="8B0000"/>
        </w:rPr>
        <w:t xml:space="preserve">Final 990 reminder — </w:t>
      </w:r>
      <w:r>
        <w:rPr>
          <w:color w:val="1A1A1A"/>
        </w:rPr>
        <w:t xml:space="preserve">File with the IRS first. Then enter, verify, and save the filing in the AMVETS Riders database. Department reviews Chapter records when applicable, and National completes final verification. Do not mail or email copies to the Department, National, or the 1st Vice.</w:t>
      </w:r>
    </w:p>
    <w:p>
      <w:pPr>
        <w:spacing w:before="200"/>
        <w:jc w:val="center"/>
      </w:pPr>
      <w:r>
        <w:rPr>
          <w:b/>
          <w:bCs/>
          <w:color w:val="8B0000"/>
          <w:sz w:val="24"/>
          <w:szCs w:val="24"/>
        </w:rPr>
        <w:t xml:space="preserve">Loyalty – Respect – Brotherhood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lvl w:ilvl="1" w15:tentative="1">
      <w:start w:val="1"/>
      <w:numFmt w:val="bullet"/>
      <w:lvlText w:val="–"/>
      <w:lvlJc w:val="left"/>
      <w:pPr>
        <w:ind w:left="1008"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8B0000"/>
      <w:sz w:val="30"/>
      <w:szCs w:val="30"/>
    </w:rPr>
  </w:style>
  <w:style w:type="paragraph" w:styleId="Heading2">
    <w:name w:val="Heading 2"/>
    <w:basedOn w:val="Normal"/>
    <w:next w:val="Normal"/>
    <w:qFormat/>
    <w:rPr>
      <w:rFonts w:ascii="Calibri" w:cs="Calibri" w:eastAsia="Calibri" w:hAnsi="Calibri"/>
      <w:b/>
      <w:bCs/>
      <w:color w:val="1A1A1A"/>
      <w:sz w:val="24"/>
      <w:szCs w:val="24"/>
    </w:rPr>
  </w:style>
  <w:style w:type="paragraph" w:styleId="Heading3">
    <w:name w:val="Heading 3"/>
    <w:basedOn w:val="Normal"/>
    <w:next w:val="Normal"/>
    <w:qFormat/>
    <w:rPr>
      <w:rFonts w:ascii="Calibri" w:cs="Calibri" w:eastAsia="Calibri" w:hAnsi="Calibri"/>
      <w:b/>
      <w:bCs/>
      <w:i/>
      <w:iCs/>
      <w:color w:val="1A1A1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ytbs_vf_-b_zvhzr0osb" Type="http://schemas.openxmlformats.org/officeDocument/2006/relationships/hyperlink" Target="https://www.irs.gov/charities-non-profits/annual-exempt-organization-return-due-date" TargetMode="External"/><Relationship Id="rIdroizwmtvckonizx8jsrbk" Type="http://schemas.openxmlformats.org/officeDocument/2006/relationships/hyperlink" Target="https://www.irs.gov/charities-non-profits/annual-electronic-filing-requirement-for-small-exempt-organizations-form-990-n-e-postcard" TargetMode="External"/><Relationship Id="rIdphtkfdtr1okb7m5je88tn" Type="http://schemas.openxmlformats.org/officeDocument/2006/relationships/hyperlink" Target="https://www.irs.gov/forms-pubs/about-form-8868" TargetMode="External"/><Relationship Id="rIdu_vrgkao6bhayfnr2g2ke" Type="http://schemas.openxmlformats.org/officeDocument/2006/relationships/hyperlink" Target="https://apps.irs.gov/app/eos/" TargetMode="External"/><Relationship Id="rIdoonogsa9fktcssx7vcjoa" Type="http://schemas.openxmlformats.org/officeDocument/2006/relationships/hyperlink" Target="https://amvets-riders-database.web.app/" TargetMode="External"/><Relationship Id="rId7" Type="http://schemas.openxmlformats.org/officeDocument/2006/relationships/image" Target="media/ebb25da3f6770b88f76cbd23d0a6db9a8d43f36f.jpg"/><Relationship Id="rId8" Type="http://schemas.openxmlformats.org/officeDocument/2006/relationships/image" Target="media/7fe6c1f8506540325e900cce2659cf6f74b53ee7.jpg"/><Relationship Id="rId9" Type="http://schemas.openxmlformats.org/officeDocument/2006/relationships/image" Target="media/0a521bb69e316c114930d039b46e0965f40bb530.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2026-09-07T18:34:23.089Z</dcterms:created>
  <dcterms:modified xsi:type="dcterms:W3CDTF">2026-09-07T18:34:23.097Z</dcterms:modified>
</cp:coreProperties>
</file>

<file path=docProps/custom.xml><?xml version="1.0" encoding="utf-8"?>
<Properties xmlns="http://schemas.openxmlformats.org/officeDocument/2006/custom-properties" xmlns:vt="http://schemas.openxmlformats.org/officeDocument/2006/docPropsVTypes"/>
</file>